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786A8">
      <w:pPr>
        <w:widowControl/>
        <w:spacing w:line="360" w:lineRule="atLeast"/>
        <w:ind w:firstLine="480"/>
        <w:jc w:val="center"/>
        <w:rPr>
          <w:rFonts w:ascii="宋体" w:hAnsi="宋体" w:eastAsia="宋体" w:cs="宋体"/>
          <w:b/>
          <w:bCs/>
          <w:color w:val="auto"/>
          <w:kern w:val="0"/>
          <w:sz w:val="36"/>
          <w:szCs w:val="36"/>
        </w:rPr>
      </w:pPr>
      <w:r>
        <w:rPr>
          <w:rFonts w:hint="eastAsia" w:ascii="宋体" w:hAnsi="宋体" w:eastAsia="宋体" w:cs="宋体"/>
          <w:b/>
          <w:bCs/>
          <w:color w:val="auto"/>
          <w:kern w:val="0"/>
          <w:sz w:val="36"/>
          <w:szCs w:val="36"/>
        </w:rPr>
        <w:t>福建理工大学采购合同</w:t>
      </w:r>
    </w:p>
    <w:p w14:paraId="33B3651C">
      <w:pPr>
        <w:widowControl/>
        <w:spacing w:line="360" w:lineRule="atLeast"/>
        <w:ind w:firstLine="480"/>
        <w:jc w:val="center"/>
        <w:rPr>
          <w:rFonts w:ascii="宋体" w:hAnsi="宋体" w:eastAsia="宋体" w:cs="宋体"/>
          <w:b/>
          <w:bCs/>
          <w:color w:val="auto"/>
          <w:kern w:val="0"/>
          <w:sz w:val="36"/>
          <w:szCs w:val="36"/>
        </w:rPr>
      </w:pPr>
      <w:r>
        <w:rPr>
          <w:rFonts w:hint="eastAsia" w:ascii="宋体" w:hAnsi="宋体" w:eastAsia="宋体" w:cs="宋体"/>
          <w:b/>
          <w:bCs/>
          <w:color w:val="auto"/>
          <w:kern w:val="0"/>
          <w:sz w:val="36"/>
          <w:szCs w:val="36"/>
        </w:rPr>
        <w:t>（二级单位自行采购项目-货物类）</w:t>
      </w:r>
    </w:p>
    <w:p w14:paraId="312642BA">
      <w:pPr>
        <w:pStyle w:val="2"/>
        <w:widowControl/>
        <w:shd w:val="clear" w:color="auto" w:fill="FFFFFF"/>
        <w:spacing w:beforeAutospacing="0" w:afterAutospacing="0" w:line="360" w:lineRule="auto"/>
        <w:jc w:val="center"/>
        <w:rPr>
          <w:rFonts w:hint="default"/>
          <w:color w:val="auto"/>
        </w:rPr>
      </w:pPr>
      <w:r>
        <w:rPr>
          <w:rFonts w:cs="宋体"/>
          <w:color w:val="auto"/>
          <w:shd w:val="clear" w:color="auto" w:fill="FFFFFF"/>
        </w:rPr>
        <w:t>编制说明</w:t>
      </w:r>
    </w:p>
    <w:p w14:paraId="0B721354">
      <w:pPr>
        <w:pStyle w:val="2"/>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1.签订合同应遵守《中华人民共和国民法典》等法律法规及《福建理工大学政府采购管理实施办法》《福建理工大学二级单位自行采购实施细则》等学校文件有关规定。</w:t>
      </w:r>
    </w:p>
    <w:p w14:paraId="375B0585">
      <w:pPr>
        <w:pStyle w:val="2"/>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2.签订合同时，甲方与中标(成交)人应结合采购文件规定填列相应内容。采购文件已有约定的，双方均不得对约定进行变更或调整；采购文件未作规定的，双方可通过友好协商进行约定。</w:t>
      </w:r>
    </w:p>
    <w:p w14:paraId="6DE770CA">
      <w:pPr>
        <w:widowControl/>
        <w:spacing w:line="360" w:lineRule="atLeast"/>
        <w:rPr>
          <w:rFonts w:ascii="宋体" w:hAnsi="宋体" w:eastAsia="宋体" w:cs="宋体"/>
          <w:color w:val="auto"/>
          <w:kern w:val="0"/>
          <w:sz w:val="24"/>
          <w:szCs w:val="24"/>
          <w:highlight w:val="yellow"/>
        </w:rPr>
      </w:pPr>
    </w:p>
    <w:p w14:paraId="0367D669">
      <w:pPr>
        <w:widowControl/>
        <w:spacing w:line="360" w:lineRule="auto"/>
        <w:rPr>
          <w:rFonts w:ascii="宋体" w:hAnsi="宋体" w:eastAsia="宋体" w:cs="宋体"/>
          <w:color w:val="auto"/>
          <w:kern w:val="0"/>
          <w:sz w:val="24"/>
          <w:szCs w:val="24"/>
        </w:rPr>
      </w:pPr>
      <w:r>
        <w:rPr>
          <w:rFonts w:hint="eastAsia" w:ascii="宋体" w:hAnsi="宋体" w:eastAsia="宋体" w:cs="宋体"/>
          <w:color w:val="auto"/>
          <w:kern w:val="0"/>
          <w:sz w:val="24"/>
          <w:szCs w:val="24"/>
          <w:highlight w:val="yellow"/>
        </w:rPr>
        <w:t>模板中黄显部分仅作提醒，请删除。</w:t>
      </w:r>
    </w:p>
    <w:p w14:paraId="12C97E55">
      <w:pPr>
        <w:widowControl/>
        <w:spacing w:line="360" w:lineRule="auto"/>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xml:space="preserve">甲  方：福建理工大学  </w:t>
      </w:r>
    </w:p>
    <w:p w14:paraId="5068848E">
      <w:pPr>
        <w:widowControl/>
        <w:spacing w:line="360" w:lineRule="auto"/>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乙  方： </w:t>
      </w:r>
    </w:p>
    <w:p w14:paraId="1FB58CE1">
      <w:pPr>
        <w:widowControl/>
        <w:spacing w:line="360" w:lineRule="auto"/>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签订地点：福建福州</w:t>
      </w:r>
    </w:p>
    <w:p w14:paraId="27C48D8D">
      <w:pPr>
        <w:widowControl/>
        <w:spacing w:line="360" w:lineRule="auto"/>
        <w:jc w:val="left"/>
        <w:rPr>
          <w:rFonts w:ascii="宋体" w:hAnsi="宋体" w:eastAsia="宋体" w:cs="宋体"/>
          <w:color w:val="auto"/>
          <w:kern w:val="0"/>
          <w:sz w:val="24"/>
          <w:szCs w:val="24"/>
          <w:highlight w:val="yellow"/>
        </w:rPr>
      </w:pPr>
      <w:r>
        <w:rPr>
          <w:rFonts w:hint="eastAsia" w:ascii="宋体" w:hAnsi="宋体" w:eastAsia="宋体" w:cs="宋体"/>
          <w:color w:val="auto"/>
          <w:kern w:val="0"/>
          <w:sz w:val="24"/>
          <w:szCs w:val="24"/>
        </w:rPr>
        <w:t>签订时间：   年   月   日</w:t>
      </w:r>
      <w:r>
        <w:rPr>
          <w:rFonts w:hint="eastAsia" w:ascii="宋体" w:hAnsi="宋体" w:eastAsia="宋体" w:cs="宋体"/>
          <w:color w:val="auto"/>
          <w:kern w:val="0"/>
          <w:sz w:val="24"/>
          <w:szCs w:val="24"/>
          <w:highlight w:val="yellow"/>
        </w:rPr>
        <w:t>（先空着，盖章时手填） </w:t>
      </w:r>
    </w:p>
    <w:p w14:paraId="2865F8B4">
      <w:pPr>
        <w:widowControl/>
        <w:spacing w:line="360" w:lineRule="auto"/>
        <w:ind w:firstLine="480"/>
        <w:jc w:val="left"/>
        <w:rPr>
          <w:rFonts w:ascii="宋体" w:hAnsi="宋体" w:eastAsia="宋体" w:cs="宋体"/>
          <w:color w:val="auto"/>
          <w:kern w:val="0"/>
          <w:sz w:val="24"/>
          <w:szCs w:val="24"/>
          <w:highlight w:val="yellow"/>
        </w:rPr>
      </w:pPr>
    </w:p>
    <w:p w14:paraId="62E20057">
      <w:pPr>
        <w:widowControl/>
        <w:spacing w:line="360" w:lineRule="auto"/>
        <w:ind w:firstLine="48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现依照</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日</w:t>
      </w:r>
      <w:r>
        <w:rPr>
          <w:rFonts w:hint="eastAsia" w:ascii="宋体" w:hAnsi="宋体" w:eastAsia="宋体" w:cs="宋体"/>
          <w:color w:val="auto"/>
          <w:kern w:val="0"/>
          <w:sz w:val="24"/>
          <w:szCs w:val="24"/>
          <w:highlight w:val="yellow"/>
        </w:rPr>
        <w:t>（</w:t>
      </w:r>
      <w:r>
        <w:rPr>
          <w:rFonts w:hint="eastAsia" w:ascii="宋体" w:hAnsi="宋体" w:eastAsia="宋体" w:cs="宋体"/>
          <w:color w:val="auto"/>
          <w:kern w:val="0"/>
          <w:sz w:val="24"/>
          <w:szCs w:val="24"/>
          <w:highlight w:val="yellow"/>
          <w:lang w:eastAsia="zh-CN"/>
        </w:rPr>
        <w:t>见成交</w:t>
      </w:r>
      <w:r>
        <w:rPr>
          <w:rFonts w:hint="eastAsia" w:ascii="宋体" w:hAnsi="宋体" w:eastAsia="宋体" w:cs="宋体"/>
          <w:color w:val="auto"/>
          <w:kern w:val="0"/>
          <w:sz w:val="24"/>
          <w:szCs w:val="24"/>
          <w:highlight w:val="yellow"/>
        </w:rPr>
        <w:t>结果公告时间）</w:t>
      </w:r>
      <w:r>
        <w:rPr>
          <w:rFonts w:hint="eastAsia" w:ascii="宋体" w:hAnsi="宋体" w:eastAsia="宋体" w:cs="宋体"/>
          <w:color w:val="auto"/>
          <w:kern w:val="0"/>
          <w:sz w:val="24"/>
          <w:szCs w:val="24"/>
        </w:rPr>
        <w:t>学校自行组织采购结果（项目名称：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，项目编号：</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highlight w:val="yellow"/>
        </w:rPr>
        <w:t>（见</w:t>
      </w:r>
      <w:r>
        <w:rPr>
          <w:rFonts w:hint="eastAsia" w:ascii="宋体" w:hAnsi="宋体" w:eastAsia="宋体" w:cs="宋体"/>
          <w:color w:val="auto"/>
          <w:kern w:val="0"/>
          <w:sz w:val="24"/>
          <w:szCs w:val="24"/>
          <w:highlight w:val="yellow"/>
          <w:lang w:eastAsia="zh-CN"/>
        </w:rPr>
        <w:t>成交结果</w:t>
      </w:r>
      <w:r>
        <w:rPr>
          <w:rFonts w:hint="eastAsia" w:ascii="宋体" w:hAnsi="宋体" w:eastAsia="宋体" w:cs="宋体"/>
          <w:color w:val="auto"/>
          <w:kern w:val="0"/>
          <w:sz w:val="24"/>
          <w:szCs w:val="24"/>
          <w:highlight w:val="yellow"/>
        </w:rPr>
        <w:t>公告）</w:t>
      </w:r>
      <w:r>
        <w:rPr>
          <w:rFonts w:hint="eastAsia" w:ascii="宋体" w:hAnsi="宋体" w:eastAsia="宋体" w:cs="宋体"/>
          <w:color w:val="auto"/>
          <w:kern w:val="0"/>
          <w:sz w:val="24"/>
          <w:szCs w:val="24"/>
        </w:rPr>
        <w:t>，甲乙双方达成如下协议：</w:t>
      </w:r>
    </w:p>
    <w:p w14:paraId="6739E04A">
      <w:pPr>
        <w:widowControl/>
        <w:spacing w:line="360" w:lineRule="auto"/>
        <w:ind w:firstLine="480"/>
        <w:jc w:val="left"/>
        <w:rPr>
          <w:rFonts w:ascii="宋体" w:hAnsi="宋体" w:eastAsia="宋体" w:cs="宋体"/>
          <w:color w:val="auto"/>
          <w:kern w:val="0"/>
          <w:sz w:val="24"/>
          <w:szCs w:val="24"/>
        </w:rPr>
      </w:pPr>
    </w:p>
    <w:p w14:paraId="4EAB19F7">
      <w:pPr>
        <w:widowControl/>
        <w:spacing w:line="360" w:lineRule="auto"/>
        <w:ind w:firstLine="48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第一部分  商务部分</w:t>
      </w:r>
    </w:p>
    <w:p w14:paraId="773126B5">
      <w:pPr>
        <w:widowControl/>
        <w:spacing w:line="360" w:lineRule="auto"/>
        <w:ind w:firstLine="48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一、乙方应严格按照合同内容提供货物，本次甲方采购货物为</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，合同总金额含税价人民币(大写）</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元整（¥ </w:t>
      </w:r>
      <w:r>
        <w:rPr>
          <w:rFonts w:hint="eastAsia" w:ascii="宋体" w:hAnsi="宋体" w:eastAsia="宋体" w:cs="宋体"/>
          <w:color w:val="auto"/>
          <w:kern w:val="0"/>
          <w:sz w:val="24"/>
          <w:szCs w:val="24"/>
          <w:u w:val="single"/>
        </w:rPr>
        <w:t>    </w:t>
      </w:r>
      <w:r>
        <w:rPr>
          <w:rFonts w:ascii="Times New Roman" w:hAnsi="Times New Roman" w:eastAsia="宋体" w:cs="Times New Roman"/>
          <w:color w:val="auto"/>
          <w:kern w:val="0"/>
          <w:sz w:val="24"/>
          <w:szCs w:val="24"/>
          <w:u w:val="single"/>
        </w:rPr>
        <w:t>.00  </w:t>
      </w:r>
      <w:r>
        <w:rPr>
          <w:rFonts w:hint="eastAsia" w:ascii="宋体" w:hAnsi="宋体" w:eastAsia="宋体" w:cs="宋体"/>
          <w:color w:val="auto"/>
          <w:kern w:val="0"/>
          <w:sz w:val="24"/>
          <w:szCs w:val="24"/>
        </w:rPr>
        <w:t>元），货物清单详见本合同第二部分《供货范围、货物技术参数及要求、售后服务等》具体条款。</w:t>
      </w:r>
    </w:p>
    <w:p w14:paraId="1F8AED1F">
      <w:pPr>
        <w:widowControl/>
        <w:spacing w:line="360" w:lineRule="auto"/>
        <w:ind w:firstLine="48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二、供货时间：乙方必须于合同生效之日起</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个工作日内将上述清单所列的货物送至福建理工大学</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校区内（甲方指定的地点）免费安装调试完毕，并承担运输过程中发生的一切费用。</w:t>
      </w:r>
    </w:p>
    <w:p w14:paraId="660FC438">
      <w:pPr>
        <w:widowControl/>
        <w:spacing w:line="360" w:lineRule="auto"/>
        <w:ind w:firstLine="48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三、安装及调试：乙方必须在甲方指定的地点免费进行货物的安装，安装所需的相应配套设施由乙方自行负责解决，用户提供必须的现场安装条件。如乙方不按本合同约定提交货物所产生的任何费用由乙方负责，甲方对由此所引起的变动不予确认。</w:t>
      </w:r>
    </w:p>
    <w:p w14:paraId="318E957D">
      <w:pPr>
        <w:widowControl/>
        <w:spacing w:line="360" w:lineRule="auto"/>
        <w:ind w:firstLine="435"/>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四、质量标准：乙方所提供的货物必须是原厂生产的、全新的、未使用过的(包括零部件)，并完全符合原厂质量检测标准（以说明书为准）和国家质量检测标准以及合同规定的质量规格和性能要求。如货物不符合本合同中约定的要求，甲方有权拒绝接受。</w:t>
      </w:r>
    </w:p>
    <w:p w14:paraId="18BE5B55">
      <w:pPr>
        <w:widowControl/>
        <w:spacing w:line="360" w:lineRule="auto"/>
        <w:ind w:firstLine="435"/>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五、权利保证：乙方应保证甲方在使用由乙方提供的货物或货物的任何部分不受第三方关于侵犯其所有权、知识产权等的指控。</w:t>
      </w:r>
    </w:p>
    <w:p w14:paraId="2EAB9119">
      <w:pPr>
        <w:widowControl/>
        <w:spacing w:line="360" w:lineRule="auto"/>
        <w:ind w:firstLine="435"/>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六、乙方不按本合同约定提交货物所产生的任何费用由乙方负责，甲方对由此所引起的变动不予确认。</w:t>
      </w:r>
    </w:p>
    <w:p w14:paraId="63B78EBC">
      <w:pPr>
        <w:widowControl/>
        <w:spacing w:line="360" w:lineRule="auto"/>
        <w:ind w:firstLine="435"/>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七、验收：甲方最终用户负责货物清点和验收。乙方所提供的货物安装调试完成后，甲方最终用户必须按本合同所约定的货物清单及要求对货物的品牌、外观、规格、数量、配件及安装调试后的使用性能、运行状况及其他进行验收，乙方必须在验收现场提供必要的技术支持。甲方最终用户应在乙方所提供的货物安装调试完成后</w:t>
      </w:r>
      <w:r>
        <w:rPr>
          <w:rFonts w:hint="eastAsia" w:ascii="宋体" w:hAnsi="宋体" w:eastAsia="宋体" w:cs="宋体"/>
          <w:color w:val="auto"/>
          <w:kern w:val="0"/>
          <w:sz w:val="24"/>
          <w:szCs w:val="24"/>
          <w:highlight w:val="yellow"/>
          <w:u w:val="single"/>
        </w:rPr>
        <w:t xml:space="preserve">      （与采购公告保持一致）</w:t>
      </w:r>
      <w:r>
        <w:rPr>
          <w:rFonts w:hint="eastAsia" w:ascii="宋体" w:hAnsi="宋体" w:eastAsia="宋体" w:cs="宋体"/>
          <w:color w:val="auto"/>
          <w:kern w:val="0"/>
          <w:sz w:val="24"/>
          <w:szCs w:val="24"/>
        </w:rPr>
        <w:t>个工作日内验收完毕。如发现物资设备与合同规定不符，甲方有权拒绝接受并向乙方提出索赔。如货物在保证期内被证明存在缺陷，包括潜在的缺陷或使用不合适的材料，甲方有权凭有关证明</w:t>
      </w:r>
      <w:r>
        <w:rPr>
          <w:rFonts w:hint="eastAsia" w:ascii="宋体" w:hAnsi="宋体" w:eastAsia="宋体" w:cs="宋体"/>
          <w:color w:val="auto"/>
          <w:kern w:val="0"/>
          <w:sz w:val="24"/>
          <w:szCs w:val="24"/>
          <w:lang w:eastAsia="zh-CN"/>
        </w:rPr>
        <w:t>材料</w:t>
      </w:r>
      <w:r>
        <w:rPr>
          <w:rFonts w:hint="eastAsia" w:ascii="宋体" w:hAnsi="宋体" w:eastAsia="宋体" w:cs="宋体"/>
          <w:color w:val="auto"/>
          <w:kern w:val="0"/>
          <w:sz w:val="24"/>
          <w:szCs w:val="24"/>
        </w:rPr>
        <w:t>向乙方提出索赔。</w:t>
      </w:r>
    </w:p>
    <w:p w14:paraId="7FD1163E">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八、异议期：货物验收后七个工作日内甲方对设备有异议的，乙方应在二个工作日内负责解决。</w:t>
      </w:r>
    </w:p>
    <w:p w14:paraId="0CEF8FBA">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kern w:val="0"/>
          <w:sz w:val="24"/>
          <w:szCs w:val="24"/>
        </w:rPr>
        <w:t>九、付款条件及方式：乙方向甲方出具正式合法的全额增值税</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发票，</w:t>
      </w:r>
      <w:r>
        <w:rPr>
          <w:rFonts w:hint="eastAsia" w:ascii="宋体" w:hAnsi="宋体" w:eastAsia="宋体" w:cs="宋体"/>
          <w:color w:val="auto"/>
          <w:shd w:val="clear" w:color="auto" w:fill="FFFFFF"/>
        </w:rPr>
        <w:t>应保证甲方在使用</w:t>
      </w:r>
      <w:r>
        <w:rPr>
          <w:rFonts w:hint="eastAsia" w:ascii="宋体" w:hAnsi="宋体" w:eastAsia="宋体" w:cs="宋体"/>
          <w:color w:val="auto"/>
          <w:shd w:val="clear" w:color="auto" w:fill="FFFFFF"/>
          <w:lang w:eastAsia="zh-CN"/>
        </w:rPr>
        <w:t>过程及</w:t>
      </w:r>
      <w:r>
        <w:rPr>
          <w:rFonts w:hint="eastAsia" w:ascii="宋体" w:hAnsi="宋体" w:eastAsia="宋体" w:cs="宋体"/>
          <w:color w:val="auto"/>
          <w:shd w:val="clear" w:color="auto" w:fill="FFFFFF"/>
        </w:rPr>
        <w:t>国家税务机关检查中</w:t>
      </w:r>
      <w:r>
        <w:rPr>
          <w:rFonts w:hint="eastAsia" w:ascii="宋体" w:hAnsi="宋体" w:eastAsia="宋体" w:cs="宋体"/>
          <w:color w:val="auto"/>
          <w:shd w:val="clear" w:color="auto" w:fill="FFFFFF"/>
          <w:lang w:eastAsia="zh-CN"/>
        </w:rPr>
        <w:t>不存在任何</w:t>
      </w:r>
      <w:r>
        <w:rPr>
          <w:rFonts w:hint="eastAsia" w:ascii="宋体" w:hAnsi="宋体" w:eastAsia="宋体" w:cs="宋体"/>
          <w:color w:val="auto"/>
          <w:shd w:val="clear" w:color="auto" w:fill="FFFFFF"/>
        </w:rPr>
        <w:t>问题。</w:t>
      </w:r>
    </w:p>
    <w:p w14:paraId="44FC434D">
      <w:pPr>
        <w:widowControl/>
        <w:spacing w:line="360" w:lineRule="auto"/>
        <w:ind w:firstLine="480" w:firstLineChars="200"/>
        <w:jc w:val="left"/>
        <w:rPr>
          <w:rFonts w:ascii="宋体" w:hAnsi="宋体" w:eastAsia="宋体" w:cs="宋体"/>
          <w:color w:val="auto"/>
          <w:kern w:val="0"/>
          <w:sz w:val="24"/>
          <w:szCs w:val="24"/>
          <w:highlight w:val="yellow"/>
        </w:rPr>
      </w:pPr>
      <w:r>
        <w:rPr>
          <w:rFonts w:hint="eastAsia" w:ascii="宋体" w:hAnsi="宋体" w:eastAsia="宋体" w:cs="宋体"/>
          <w:color w:val="auto"/>
          <w:kern w:val="0"/>
          <w:sz w:val="24"/>
          <w:szCs w:val="24"/>
          <w:highlight w:val="yellow"/>
        </w:rPr>
        <w:t>（根据采购公告选择付款方式，未选择的请删除）</w:t>
      </w:r>
    </w:p>
    <w:p w14:paraId="283F9775">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□一次性付款：设备安装调试完毕，经双方</w:t>
      </w:r>
      <w:r>
        <w:rPr>
          <w:rFonts w:hint="eastAsia" w:ascii="宋体" w:hAnsi="宋体" w:eastAsia="宋体" w:cs="宋体"/>
          <w:color w:val="auto"/>
          <w:kern w:val="0"/>
          <w:sz w:val="24"/>
          <w:szCs w:val="24"/>
          <w:lang w:eastAsia="zh-CN"/>
        </w:rPr>
        <w:t>最终</w:t>
      </w:r>
      <w:r>
        <w:rPr>
          <w:rFonts w:hint="eastAsia" w:ascii="宋体" w:hAnsi="宋体" w:eastAsia="宋体" w:cs="宋体"/>
          <w:color w:val="auto"/>
          <w:kern w:val="0"/>
          <w:sz w:val="24"/>
          <w:szCs w:val="24"/>
        </w:rPr>
        <w:t>验收合格且甲方收到发票后</w:t>
      </w:r>
      <w:r>
        <w:rPr>
          <w:rFonts w:hint="eastAsia" w:ascii="宋体" w:hAnsi="宋体" w:eastAsia="宋体" w:cs="宋体"/>
          <w:color w:val="auto"/>
          <w:kern w:val="0"/>
          <w:sz w:val="24"/>
          <w:szCs w:val="24"/>
          <w:u w:val="none"/>
          <w:lang w:val="en-US" w:eastAsia="zh-CN"/>
        </w:rPr>
        <w:t>10个工作</w:t>
      </w:r>
      <w:r>
        <w:rPr>
          <w:rFonts w:hint="eastAsia" w:ascii="宋体" w:hAnsi="宋体" w:eastAsia="宋体" w:cs="宋体"/>
          <w:color w:val="auto"/>
          <w:kern w:val="0"/>
          <w:sz w:val="24"/>
          <w:szCs w:val="24"/>
          <w:lang w:eastAsia="zh-CN"/>
        </w:rPr>
        <w:t>日</w:t>
      </w:r>
      <w:r>
        <w:rPr>
          <w:rFonts w:hint="eastAsia" w:ascii="宋体" w:hAnsi="宋体" w:eastAsia="宋体" w:cs="宋体"/>
          <w:color w:val="auto"/>
          <w:kern w:val="0"/>
          <w:sz w:val="24"/>
          <w:szCs w:val="24"/>
        </w:rPr>
        <w:t>内，甲方向乙方支付100%的合同款；</w:t>
      </w:r>
    </w:p>
    <w:p w14:paraId="1F2546D4">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□分批付款：在合同生效后</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lang w:eastAsia="zh-CN"/>
        </w:rPr>
        <w:t>日</w:t>
      </w:r>
      <w:r>
        <w:rPr>
          <w:rFonts w:hint="eastAsia" w:ascii="宋体" w:hAnsi="宋体" w:eastAsia="宋体" w:cs="宋体"/>
          <w:color w:val="auto"/>
          <w:kern w:val="0"/>
          <w:sz w:val="24"/>
          <w:szCs w:val="24"/>
        </w:rPr>
        <w:t>内，甲方向乙方支付合同总额</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%货款；设备安装调试完毕，经双方</w:t>
      </w:r>
      <w:r>
        <w:rPr>
          <w:rFonts w:hint="eastAsia" w:ascii="宋体" w:hAnsi="宋体" w:eastAsia="宋体" w:cs="宋体"/>
          <w:color w:val="auto"/>
          <w:kern w:val="0"/>
          <w:sz w:val="24"/>
          <w:szCs w:val="24"/>
          <w:lang w:eastAsia="zh-CN"/>
        </w:rPr>
        <w:t>最终</w:t>
      </w:r>
      <w:r>
        <w:rPr>
          <w:rFonts w:hint="eastAsia" w:ascii="宋体" w:hAnsi="宋体" w:eastAsia="宋体" w:cs="宋体"/>
          <w:color w:val="auto"/>
          <w:kern w:val="0"/>
          <w:sz w:val="24"/>
          <w:szCs w:val="24"/>
        </w:rPr>
        <w:t>验收合格后</w:t>
      </w:r>
      <w:r>
        <w:rPr>
          <w:rFonts w:hint="eastAsia" w:ascii="宋体" w:hAnsi="宋体" w:eastAsia="宋体" w:cs="宋体"/>
          <w:color w:val="auto"/>
          <w:kern w:val="0"/>
          <w:sz w:val="24"/>
          <w:szCs w:val="24"/>
          <w:u w:val="none"/>
          <w:lang w:val="en-US" w:eastAsia="zh-CN"/>
        </w:rPr>
        <w:t>10个工作</w:t>
      </w:r>
      <w:r>
        <w:rPr>
          <w:rFonts w:hint="eastAsia" w:ascii="宋体" w:hAnsi="宋体" w:eastAsia="宋体" w:cs="宋体"/>
          <w:color w:val="auto"/>
          <w:kern w:val="0"/>
          <w:sz w:val="24"/>
          <w:szCs w:val="24"/>
          <w:lang w:eastAsia="zh-CN"/>
        </w:rPr>
        <w:t>日</w:t>
      </w:r>
      <w:r>
        <w:rPr>
          <w:rFonts w:hint="eastAsia" w:ascii="宋体" w:hAnsi="宋体" w:eastAsia="宋体" w:cs="宋体"/>
          <w:color w:val="auto"/>
          <w:kern w:val="0"/>
          <w:sz w:val="24"/>
          <w:szCs w:val="24"/>
        </w:rPr>
        <w:t>内，甲方向乙方付合同总额</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%的货款。</w:t>
      </w:r>
    </w:p>
    <w:p w14:paraId="783D36C6">
      <w:pPr>
        <w:widowControl/>
        <w:spacing w:line="360" w:lineRule="auto"/>
        <w:ind w:firstLine="435"/>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十、履约保证金：</w:t>
      </w:r>
    </w:p>
    <w:p w14:paraId="5A5844FC">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成交</w:t>
      </w:r>
      <w:r>
        <w:rPr>
          <w:rFonts w:hint="eastAsia" w:ascii="宋体" w:hAnsi="宋体" w:eastAsia="宋体" w:cs="宋体"/>
          <w:color w:val="auto"/>
          <w:kern w:val="0"/>
          <w:sz w:val="24"/>
          <w:szCs w:val="24"/>
        </w:rPr>
        <w:t>金额在10万元（含）以上的，签订合同</w:t>
      </w:r>
      <w:r>
        <w:rPr>
          <w:rFonts w:hint="eastAsia" w:ascii="宋体" w:hAnsi="宋体" w:eastAsia="宋体" w:cs="宋体"/>
          <w:color w:val="auto"/>
          <w:kern w:val="0"/>
          <w:sz w:val="24"/>
          <w:szCs w:val="24"/>
          <w:lang w:eastAsia="zh-CN"/>
        </w:rPr>
        <w:t>时</w:t>
      </w:r>
      <w:r>
        <w:rPr>
          <w:rFonts w:hint="eastAsia" w:ascii="宋体" w:hAnsi="宋体" w:eastAsia="宋体" w:cs="宋体"/>
          <w:color w:val="auto"/>
          <w:kern w:val="0"/>
          <w:sz w:val="24"/>
          <w:szCs w:val="24"/>
        </w:rPr>
        <w:t>，供应商需缴纳成交总价10%的履约保证金。（若供应商符合中小企业认定标准且能提供有效证明文件的，履约保证金收取比例为中标总价的 5% 。项目验收合格1年后，成交人完整履行采购合同，无合同条款所规定的未了事件，并由使用部门确认无质量问题（或无售后问题）后，则以银行转</w:t>
      </w:r>
      <w:r>
        <w:rPr>
          <w:rFonts w:hint="eastAsia" w:ascii="宋体" w:hAnsi="宋体" w:eastAsia="宋体" w:cs="宋体"/>
          <w:color w:val="auto"/>
          <w:kern w:val="0"/>
          <w:sz w:val="24"/>
          <w:szCs w:val="24"/>
          <w:lang w:eastAsia="zh-CN"/>
        </w:rPr>
        <w:t>账</w:t>
      </w:r>
      <w:r>
        <w:rPr>
          <w:rFonts w:hint="eastAsia" w:ascii="宋体" w:hAnsi="宋体" w:eastAsia="宋体" w:cs="宋体"/>
          <w:color w:val="auto"/>
          <w:kern w:val="0"/>
          <w:sz w:val="24"/>
          <w:szCs w:val="24"/>
        </w:rPr>
        <w:t>方式无息退还给供应商。</w:t>
      </w:r>
    </w:p>
    <w:p w14:paraId="6C6F1F5C">
      <w:pPr>
        <w:widowControl/>
        <w:spacing w:line="360" w:lineRule="auto"/>
        <w:ind w:firstLine="48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十一、售后服务：乙方应按照本次采购文件中有关质量保证和售后服务的承诺执行，国家有规定的按国家规定执行。详见本合同第二部分《供货范围、货物技术参数及要求、售后服务等》具体条款。</w:t>
      </w:r>
    </w:p>
    <w:p w14:paraId="2700F38A">
      <w:pPr>
        <w:widowControl/>
        <w:spacing w:line="360" w:lineRule="auto"/>
        <w:ind w:firstLine="435"/>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十二、双方责任和义务：</w:t>
      </w:r>
    </w:p>
    <w:p w14:paraId="3C162323">
      <w:pPr>
        <w:pStyle w:val="7"/>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rPr>
        <w:t>1、因乙方原因造成合同无法按时签订，视为乙方自行放弃中标资格，履约保证金（已交情况下）不予退还。如履约保证金不能弥补乙方违约对甲方造成的损失的，乙方还需另行支付本项目成交金额30%的赔偿金。</w:t>
      </w:r>
    </w:p>
    <w:p w14:paraId="70328AB1">
      <w:pPr>
        <w:pStyle w:val="7"/>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rPr>
        <w:t>2、合同签订之后，乙方未经甲方同意单方面终止合同的，乙方除了应向甲方赔偿因合同终止导致的损失外，还应向甲方偿付本项目成交金额30%的违约金。</w:t>
      </w:r>
    </w:p>
    <w:p w14:paraId="592BF2C0">
      <w:pPr>
        <w:pStyle w:val="7"/>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rPr>
        <w:t>3、乙方不能按时交付服务的，逾期未超过十五日的，每逾期一日，应按本项目</w:t>
      </w:r>
      <w:r>
        <w:rPr>
          <w:rFonts w:hint="eastAsia" w:ascii="宋体" w:hAnsi="宋体" w:eastAsia="宋体" w:cs="宋体"/>
          <w:color w:val="auto"/>
          <w:szCs w:val="24"/>
          <w:lang w:eastAsia="zh-CN"/>
        </w:rPr>
        <w:t>成交</w:t>
      </w:r>
      <w:r>
        <w:rPr>
          <w:rFonts w:hint="eastAsia" w:ascii="宋体" w:hAnsi="宋体" w:eastAsia="宋体" w:cs="宋体"/>
          <w:color w:val="auto"/>
          <w:szCs w:val="24"/>
        </w:rPr>
        <w:t>金额2%的标准向甲方支付日违约金；逾期超过十五日的，甲方有权单方解除本项目合同，同时乙方应向甲方偿付本项目成交金额30%的违约金或甲方直接从待付款中扣除。</w:t>
      </w:r>
    </w:p>
    <w:p w14:paraId="1E5C813C">
      <w:pPr>
        <w:pStyle w:val="7"/>
        <w:widowControl/>
        <w:shd w:val="clear" w:color="auto" w:fill="FFFFFF"/>
        <w:spacing w:beforeAutospacing="0" w:afterAutospacing="0" w:line="360" w:lineRule="auto"/>
        <w:ind w:firstLine="420"/>
        <w:jc w:val="both"/>
        <w:rPr>
          <w:rFonts w:ascii="宋体" w:hAnsi="宋体" w:eastAsia="宋体" w:cs="宋体"/>
          <w:color w:val="auto"/>
          <w:szCs w:val="24"/>
        </w:rPr>
      </w:pPr>
      <w:r>
        <w:rPr>
          <w:rFonts w:hint="eastAsia" w:ascii="宋体" w:hAnsi="宋体" w:eastAsia="宋体" w:cs="宋体"/>
          <w:color w:val="auto"/>
          <w:szCs w:val="24"/>
        </w:rPr>
        <w:t>4、乙方所提供服务不符合本项目合同要求的，甲方有权要求乙方进行整改，在甲方指定时间内未完成整改的，甲方有权单方解除合同。如因整改发生逾期，则按本条第3点执行。</w:t>
      </w:r>
    </w:p>
    <w:p w14:paraId="4DE27E86">
      <w:pPr>
        <w:pStyle w:val="7"/>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rPr>
        <w:t>5、因乙方原因发生重大质量事故，除依约承担赔偿责任外，还将按有关质量管理办法规定执行。同时，甲方有权保留更换乙方的权利，并报相关行政主管部门处罚。</w:t>
      </w:r>
    </w:p>
    <w:p w14:paraId="5E338B00">
      <w:pPr>
        <w:pStyle w:val="7"/>
        <w:widowControl/>
        <w:shd w:val="clear" w:color="auto" w:fill="FFFFFF"/>
        <w:spacing w:beforeAutospacing="0" w:afterAutospacing="0" w:line="360" w:lineRule="auto"/>
        <w:ind w:firstLine="420"/>
        <w:jc w:val="both"/>
        <w:rPr>
          <w:rFonts w:ascii="宋体" w:hAnsi="宋体" w:eastAsia="宋体" w:cs="宋体"/>
          <w:color w:val="auto"/>
          <w:szCs w:val="24"/>
        </w:rPr>
      </w:pPr>
      <w:r>
        <w:rPr>
          <w:rFonts w:hint="eastAsia" w:ascii="宋体" w:hAnsi="宋体" w:eastAsia="宋体" w:cs="宋体"/>
          <w:color w:val="auto"/>
          <w:szCs w:val="24"/>
        </w:rPr>
        <w:t>6、</w:t>
      </w:r>
      <w:r>
        <w:rPr>
          <w:rFonts w:hint="eastAsia" w:ascii="宋体" w:hAnsi="宋体" w:eastAsia="宋体" w:cs="宋体"/>
          <w:color w:val="auto"/>
          <w:shd w:val="clear" w:color="auto" w:fill="FFFFFF"/>
        </w:rPr>
        <w:t>因乙方原因发生安全事故，按国家有关安全管理规定及甲方有关安全管理办法执行；发生重大安全事故或特大安全事故，除按国家有关安全管理规定及甲方有关安全管理办法执行外，甲方保留更换乙方的权利。因安全事故给甲方造成的损失，乙方还应承担赔偿责任。</w:t>
      </w:r>
    </w:p>
    <w:p w14:paraId="1EDA89C6">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7、在明确违约责任后，乙方应在接到书面通知书起七天内支付违约金、赔偿金等。</w:t>
      </w:r>
    </w:p>
    <w:p w14:paraId="46D1350E">
      <w:pPr>
        <w:widowControl/>
        <w:spacing w:line="360" w:lineRule="auto"/>
        <w:ind w:firstLine="48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十三、违约终止合同</w:t>
      </w:r>
    </w:p>
    <w:p w14:paraId="715D2D4B">
      <w:pPr>
        <w:widowControl/>
        <w:spacing w:line="360" w:lineRule="auto"/>
        <w:ind w:firstLine="48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1、在补救违约而采取的任何其他措施未能实现的情况下，即在甲方发出的违约通知后</w:t>
      </w:r>
      <w:r>
        <w:rPr>
          <w:rFonts w:ascii="Times New Roman" w:hAnsi="Times New Roman" w:eastAsia="宋体" w:cs="Times New Roman"/>
          <w:color w:val="auto"/>
          <w:kern w:val="0"/>
          <w:sz w:val="24"/>
          <w:szCs w:val="24"/>
        </w:rPr>
        <w:t>30</w:t>
      </w:r>
      <w:r>
        <w:rPr>
          <w:rFonts w:hint="eastAsia" w:ascii="宋体" w:hAnsi="宋体" w:eastAsia="宋体" w:cs="宋体"/>
          <w:color w:val="auto"/>
          <w:kern w:val="0"/>
          <w:sz w:val="24"/>
          <w:szCs w:val="24"/>
        </w:rPr>
        <w:t>天内（或经甲方书面确认的更长时间内）仍未纠正其下述任何一种违约行为，甲方可向乙方发出书面违约通知，终止全部或部分合同：  </w:t>
      </w:r>
    </w:p>
    <w:p w14:paraId="1A72EF9C">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w:t>
      </w:r>
      <w:r>
        <w:rPr>
          <w:rFonts w:ascii="Times New Roman" w:hAnsi="Times New Roman" w:eastAsia="宋体" w:cs="Times New Roman"/>
          <w:color w:val="auto"/>
          <w:kern w:val="0"/>
          <w:sz w:val="24"/>
          <w:szCs w:val="24"/>
        </w:rPr>
        <w:t>1</w:t>
      </w:r>
      <w:r>
        <w:rPr>
          <w:rFonts w:hint="eastAsia" w:ascii="宋体" w:hAnsi="宋体" w:eastAsia="宋体" w:cs="宋体"/>
          <w:color w:val="auto"/>
          <w:kern w:val="0"/>
          <w:sz w:val="24"/>
          <w:szCs w:val="24"/>
        </w:rPr>
        <w:t>）如果乙方未能在合同规定的期限内或甲方准许的任何延期内交付部分或全部货物。</w:t>
      </w:r>
    </w:p>
    <w:p w14:paraId="4DEE5258">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w:t>
      </w:r>
      <w:r>
        <w:rPr>
          <w:rFonts w:ascii="Times New Roman" w:hAnsi="Times New Roman" w:eastAsia="宋体" w:cs="Times New Roman"/>
          <w:color w:val="auto"/>
          <w:kern w:val="0"/>
          <w:sz w:val="24"/>
          <w:szCs w:val="24"/>
        </w:rPr>
        <w:t>2</w:t>
      </w:r>
      <w:r>
        <w:rPr>
          <w:rFonts w:hint="eastAsia" w:ascii="宋体" w:hAnsi="宋体" w:eastAsia="宋体" w:cs="宋体"/>
          <w:color w:val="auto"/>
          <w:kern w:val="0"/>
          <w:sz w:val="24"/>
          <w:szCs w:val="24"/>
        </w:rPr>
        <w:t>）乙方未能履行合同项下的任何其它义务。</w:t>
      </w:r>
    </w:p>
    <w:p w14:paraId="5E76E46C">
      <w:pPr>
        <w:widowControl/>
        <w:spacing w:line="360" w:lineRule="auto"/>
        <w:ind w:firstLine="48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2</w:t>
      </w:r>
      <w:r>
        <w:rPr>
          <w:rFonts w:hint="eastAsia" w:ascii="宋体" w:hAnsi="宋体" w:eastAsia="宋体" w:cs="宋体"/>
          <w:b w:val="0"/>
          <w:bCs w:val="0"/>
          <w:color w:val="auto"/>
          <w:kern w:val="0"/>
          <w:sz w:val="24"/>
          <w:szCs w:val="24"/>
        </w:rPr>
        <w:t>、</w:t>
      </w:r>
      <w:r>
        <w:rPr>
          <w:rFonts w:hint="eastAsia" w:ascii="宋体" w:hAnsi="宋体" w:eastAsia="宋体" w:cs="宋体"/>
          <w:color w:val="auto"/>
          <w:kern w:val="0"/>
          <w:sz w:val="24"/>
          <w:szCs w:val="24"/>
        </w:rPr>
        <w:t>任何一方由于下列原因而导致不能或暂时不能履行全部或部分合同义务的，不负责任：水灾、火灾、地震、干旱、战争或其他任何在签约时不能预料、无法控制且不能避免和克服的事件。但受不可抗力影响的一方，应尽快地将所发生的事件通知对方，并应在事件发生后</w:t>
      </w:r>
      <w:r>
        <w:rPr>
          <w:rFonts w:ascii="Times New Roman" w:hAnsi="Times New Roman" w:eastAsia="宋体" w:cs="Times New Roman"/>
          <w:color w:val="auto"/>
          <w:kern w:val="0"/>
          <w:sz w:val="24"/>
          <w:szCs w:val="24"/>
        </w:rPr>
        <w:t>15</w:t>
      </w:r>
      <w:r>
        <w:rPr>
          <w:rFonts w:hint="eastAsia" w:ascii="宋体" w:hAnsi="宋体" w:eastAsia="宋体" w:cs="宋体"/>
          <w:color w:val="auto"/>
          <w:kern w:val="0"/>
          <w:sz w:val="24"/>
          <w:szCs w:val="24"/>
          <w:lang w:val="en-US" w:eastAsia="zh-CN"/>
        </w:rPr>
        <w:t>日</w:t>
      </w:r>
      <w:r>
        <w:rPr>
          <w:rFonts w:hint="eastAsia" w:ascii="宋体" w:hAnsi="宋体" w:eastAsia="宋体" w:cs="宋体"/>
          <w:color w:val="auto"/>
          <w:kern w:val="0"/>
          <w:sz w:val="24"/>
          <w:szCs w:val="24"/>
        </w:rPr>
        <w:t>内将有关机构出具的不可抗力事件的证明寄交对方，如果不可抗力事件之影响超过</w:t>
      </w:r>
      <w:r>
        <w:rPr>
          <w:rFonts w:ascii="Times New Roman" w:hAnsi="Times New Roman" w:eastAsia="宋体" w:cs="Times New Roman"/>
          <w:color w:val="auto"/>
          <w:kern w:val="0"/>
          <w:sz w:val="24"/>
          <w:szCs w:val="24"/>
        </w:rPr>
        <w:t>120</w:t>
      </w:r>
      <w:r>
        <w:rPr>
          <w:rFonts w:hint="eastAsia" w:ascii="宋体" w:hAnsi="宋体" w:eastAsia="宋体" w:cs="宋体"/>
          <w:color w:val="auto"/>
          <w:kern w:val="0"/>
          <w:sz w:val="24"/>
          <w:szCs w:val="24"/>
          <w:lang w:eastAsia="zh-CN"/>
        </w:rPr>
        <w:t>日</w:t>
      </w:r>
      <w:r>
        <w:rPr>
          <w:rFonts w:hint="eastAsia" w:ascii="宋体" w:hAnsi="宋体" w:eastAsia="宋体" w:cs="宋体"/>
          <w:color w:val="auto"/>
          <w:kern w:val="0"/>
          <w:sz w:val="24"/>
          <w:szCs w:val="24"/>
        </w:rPr>
        <w:t>，双方应协商合同继续履行或终止履行的事宜。</w:t>
      </w:r>
    </w:p>
    <w:p w14:paraId="714EA520">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kern w:val="0"/>
          <w:sz w:val="24"/>
          <w:szCs w:val="24"/>
        </w:rPr>
        <w:t>十四、合同争议处理方式：若发生争议，由甲、乙双方友好协商解决，若协商不成，</w:t>
      </w:r>
      <w:r>
        <w:rPr>
          <w:rFonts w:hint="eastAsia" w:ascii="宋体" w:hAnsi="宋体" w:eastAsia="宋体" w:cs="宋体"/>
          <w:color w:val="auto"/>
          <w:shd w:val="clear" w:color="auto" w:fill="FFFFFF"/>
        </w:rPr>
        <w:t>双方明确按以下第</w:t>
      </w:r>
      <w:r>
        <w:rPr>
          <w:rFonts w:hint="eastAsia" w:ascii="宋体" w:hAnsi="宋体" w:eastAsia="宋体" w:cs="宋体"/>
          <w:color w:val="auto"/>
          <w:u w:val="single"/>
          <w:shd w:val="clear" w:color="auto" w:fill="FFFFFF"/>
        </w:rPr>
        <w:t>  </w:t>
      </w:r>
      <w:r>
        <w:rPr>
          <w:rFonts w:hint="eastAsia" w:ascii="宋体" w:hAnsi="宋体" w:eastAsia="宋体" w:cs="宋体"/>
          <w:color w:val="auto"/>
          <w:shd w:val="clear" w:color="auto" w:fill="FFFFFF"/>
        </w:rPr>
        <w:t>种方式解决：</w:t>
      </w:r>
    </w:p>
    <w:p w14:paraId="1443599A">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rPr>
        <w:t>1、提交仲裁委员会仲裁，具体如下：向福州仲裁委员会申请仲裁</w:t>
      </w:r>
      <w:r>
        <w:rPr>
          <w:rFonts w:hint="eastAsia" w:ascii="宋体" w:hAnsi="宋体" w:eastAsia="宋体" w:cs="宋体"/>
          <w:color w:val="auto"/>
          <w:shd w:val="clear" w:color="auto" w:fill="FFFFFF"/>
          <w:lang w:eastAsia="zh-CN"/>
        </w:rPr>
        <w:t>。</w:t>
      </w:r>
    </w:p>
    <w:p w14:paraId="25752266">
      <w:pPr>
        <w:widowControl/>
        <w:spacing w:line="360" w:lineRule="auto"/>
        <w:ind w:firstLine="435"/>
        <w:jc w:val="left"/>
        <w:rPr>
          <w:rFonts w:hint="eastAsia" w:ascii="宋体" w:hAnsi="宋体" w:eastAsia="宋体" w:cs="宋体"/>
          <w:color w:val="auto"/>
          <w:kern w:val="0"/>
          <w:sz w:val="24"/>
          <w:szCs w:val="24"/>
        </w:rPr>
      </w:pPr>
      <w:r>
        <w:rPr>
          <w:rFonts w:hint="eastAsia" w:ascii="宋体" w:hAnsi="宋体" w:eastAsia="宋体" w:cs="宋体"/>
          <w:color w:val="auto"/>
          <w:kern w:val="0"/>
          <w:sz w:val="24"/>
          <w:shd w:val="clear" w:color="auto" w:fill="FFFFFF"/>
        </w:rPr>
        <w:t>2、向</w:t>
      </w:r>
      <w:r>
        <w:rPr>
          <w:rFonts w:hint="eastAsia" w:ascii="宋体" w:hAnsi="宋体" w:eastAsia="宋体" w:cs="宋体"/>
          <w:color w:val="auto"/>
          <w:kern w:val="0"/>
          <w:sz w:val="24"/>
          <w:shd w:val="clear" w:color="auto" w:fill="FFFFFF"/>
          <w:lang w:eastAsia="zh-CN"/>
        </w:rPr>
        <w:t>甲方所在地</w:t>
      </w:r>
      <w:r>
        <w:rPr>
          <w:rFonts w:hint="eastAsia" w:ascii="宋体" w:hAnsi="宋体" w:eastAsia="宋体" w:cs="宋体"/>
          <w:color w:val="auto"/>
          <w:kern w:val="0"/>
          <w:sz w:val="24"/>
          <w:shd w:val="clear" w:color="auto" w:fill="FFFFFF"/>
        </w:rPr>
        <w:t>人民法院提起诉讼。</w:t>
      </w:r>
    </w:p>
    <w:p w14:paraId="0BBBC5D3">
      <w:pPr>
        <w:widowControl/>
        <w:spacing w:line="360" w:lineRule="auto"/>
        <w:ind w:firstLine="435"/>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十五、合同相关文件：有关本次采购项目的采购文件以及相关的函件如澄清确认函等均为本合同不可分割的一部分。</w:t>
      </w:r>
    </w:p>
    <w:p w14:paraId="540C1D34">
      <w:pPr>
        <w:widowControl/>
        <w:spacing w:line="360" w:lineRule="auto"/>
        <w:ind w:firstLine="435"/>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十六、本合同一式肆份，经双方签字并盖章后即时生效。甲方执叁份，其中壹份送资产处备案；乙方执壹份，具有同等效力。</w:t>
      </w:r>
    </w:p>
    <w:p w14:paraId="418586F1">
      <w:pPr>
        <w:widowControl/>
        <w:spacing w:line="360" w:lineRule="auto"/>
        <w:ind w:firstLine="435"/>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十七、其他约定</w:t>
      </w:r>
    </w:p>
    <w:p w14:paraId="1E77F26A">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1、 本合同项下任何一方向对方发出的通知、信件、数据电文等，应当发送至本合同尾部约定的地址、联系人和通信终端。一方当事人变更名称、地址、联系人或通信终端的，应当在变更后3日内及时书面通知对方当事人，对方当事人实际收到变更通知前的送达仍为有效送达，电子送达与书面送达具有同等法律效力。</w:t>
      </w:r>
    </w:p>
    <w:p w14:paraId="2A257571">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2、 任何一方当事人向对/他方所发出的信件，自信件交邮后的第7日视为送达；发出的短信/传真/微信/电子邮件，自前述电子文件内容在发送方正确填写地址且未被系统退回的情况下，视为进入对方数据电文接收系统即视为送达。若送达日为非工作日, 则视为在下一工作日送达。</w:t>
      </w:r>
    </w:p>
    <w:p w14:paraId="2206C87A">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3、 本合同尾部约定的地址、联系人及电子通信终端亦为双方工作联系往来、法律文书及争议解决时人民法院或仲裁机构的法律文书送达地址，人民法院或仲裁机构的诉讼文书（含裁判文书）向任何合同任何一方当事人的上述地址和/或工商登记公示地址（居民身份证登记地址）送达的，视为有效送达。当事人对电子通信终端的联系送达适用于争议解决时的送达。</w:t>
      </w:r>
    </w:p>
    <w:p w14:paraId="2026BA4B">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4、 合同送达条款与争议解决条款均为独立条款，不受合同整体或其他条款的效力的影响。</w:t>
      </w:r>
    </w:p>
    <w:p w14:paraId="5A50C534">
      <w:pPr>
        <w:widowControl/>
        <w:spacing w:line="360" w:lineRule="auto"/>
        <w:ind w:firstLine="0"/>
        <w:jc w:val="left"/>
        <w:rPr>
          <w:rFonts w:hint="eastAsia" w:ascii="宋体" w:hAnsi="宋体" w:eastAsia="宋体" w:cs="宋体"/>
          <w:color w:val="auto"/>
          <w:kern w:val="0"/>
          <w:sz w:val="24"/>
          <w:szCs w:val="24"/>
          <w:lang w:eastAsia="zh-CN"/>
        </w:rPr>
      </w:pPr>
    </w:p>
    <w:p w14:paraId="45EB7390">
      <w:pPr>
        <w:widowControl/>
        <w:spacing w:line="360" w:lineRule="auto"/>
        <w:ind w:firstLine="0"/>
        <w:jc w:val="left"/>
        <w:rPr>
          <w:rFonts w:hint="eastAsia" w:ascii="宋体" w:hAnsi="宋体" w:eastAsia="宋体" w:cs="宋体"/>
          <w:color w:val="auto"/>
          <w:kern w:val="0"/>
          <w:sz w:val="24"/>
          <w:szCs w:val="24"/>
          <w:lang w:eastAsia="zh-CN"/>
        </w:rPr>
      </w:pPr>
    </w:p>
    <w:p w14:paraId="4A64841C">
      <w:pPr>
        <w:widowControl/>
        <w:spacing w:line="360" w:lineRule="auto"/>
        <w:ind w:left="0" w:firstLine="0"/>
        <w:jc w:val="left"/>
        <w:rPr>
          <w:rFonts w:ascii="宋体" w:hAnsi="宋体" w:eastAsia="宋体" w:cs="宋体"/>
          <w:color w:val="auto"/>
          <w:kern w:val="0"/>
          <w:sz w:val="24"/>
          <w:szCs w:val="24"/>
        </w:rPr>
      </w:pPr>
    </w:p>
    <w:p w14:paraId="005925C2">
      <w:pPr>
        <w:widowControl/>
        <w:spacing w:line="360" w:lineRule="auto"/>
        <w:ind w:left="420" w:firstLine="480"/>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第二部分  供货范围、技术要求及售后服务等</w:t>
      </w:r>
    </w:p>
    <w:p w14:paraId="6D60C616">
      <w:pPr>
        <w:widowControl/>
        <w:spacing w:line="360" w:lineRule="auto"/>
        <w:ind w:left="420" w:firstLine="480"/>
        <w:jc w:val="left"/>
        <w:rPr>
          <w:rFonts w:ascii="宋体" w:hAnsi="宋体" w:eastAsia="宋体" w:cs="宋体"/>
          <w:b/>
          <w:bCs/>
          <w:color w:val="auto"/>
          <w:kern w:val="0"/>
          <w:sz w:val="24"/>
          <w:szCs w:val="24"/>
        </w:rPr>
      </w:pPr>
    </w:p>
    <w:p w14:paraId="19FF7F29">
      <w:pPr>
        <w:widowControl/>
        <w:spacing w:line="360" w:lineRule="auto"/>
        <w:ind w:left="840" w:hanging="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一、乙方应严格按照如下清单的要求提交货物：</w:t>
      </w:r>
    </w:p>
    <w:p w14:paraId="4E187179">
      <w:pPr>
        <w:widowControl/>
        <w:spacing w:line="360" w:lineRule="auto"/>
        <w:ind w:firstLine="62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单价及金额单位：元</w:t>
      </w:r>
    </w:p>
    <w:tbl>
      <w:tblPr>
        <w:tblStyle w:val="9"/>
        <w:tblW w:w="9237" w:type="dxa"/>
        <w:tblInd w:w="140" w:type="dxa"/>
        <w:tblLayout w:type="fixed"/>
        <w:tblCellMar>
          <w:top w:w="15" w:type="dxa"/>
          <w:left w:w="15" w:type="dxa"/>
          <w:bottom w:w="15" w:type="dxa"/>
          <w:right w:w="15" w:type="dxa"/>
        </w:tblCellMar>
      </w:tblPr>
      <w:tblGrid>
        <w:gridCol w:w="1278"/>
        <w:gridCol w:w="909"/>
        <w:gridCol w:w="1088"/>
        <w:gridCol w:w="987"/>
        <w:gridCol w:w="741"/>
        <w:gridCol w:w="1074"/>
        <w:gridCol w:w="1323"/>
        <w:gridCol w:w="1837"/>
      </w:tblGrid>
      <w:tr w14:paraId="1109BD45">
        <w:tblPrEx>
          <w:tblCellMar>
            <w:top w:w="15" w:type="dxa"/>
            <w:left w:w="15" w:type="dxa"/>
            <w:bottom w:w="15" w:type="dxa"/>
            <w:right w:w="15" w:type="dxa"/>
          </w:tblCellMar>
        </w:tblPrEx>
        <w:trPr>
          <w:trHeight w:val="867" w:hRule="atLeast"/>
        </w:trPr>
        <w:tc>
          <w:tcPr>
            <w:tcW w:w="127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58742388">
            <w:pPr>
              <w:widowControl/>
              <w:spacing w:line="360" w:lineRule="auto"/>
              <w:rPr>
                <w:rFonts w:ascii="宋体" w:hAnsi="宋体" w:eastAsia="宋体" w:cs="宋体"/>
                <w:color w:val="auto"/>
                <w:kern w:val="0"/>
                <w:sz w:val="24"/>
                <w:szCs w:val="24"/>
              </w:rPr>
            </w:pPr>
            <w:r>
              <w:rPr>
                <w:rFonts w:ascii="宋体" w:hAnsi="宋体" w:eastAsia="宋体" w:cs="宋体"/>
                <w:color w:val="auto"/>
                <w:kern w:val="0"/>
                <w:sz w:val="24"/>
                <w:szCs w:val="24"/>
              </w:rPr>
              <w:t>物资名称</w:t>
            </w:r>
          </w:p>
        </w:tc>
        <w:tc>
          <w:tcPr>
            <w:tcW w:w="90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2D77DFFD">
            <w:pPr>
              <w:widowControl/>
              <w:spacing w:line="360" w:lineRule="auto"/>
              <w:rPr>
                <w:rFonts w:ascii="宋体" w:hAnsi="宋体" w:eastAsia="宋体" w:cs="宋体"/>
                <w:color w:val="auto"/>
                <w:kern w:val="0"/>
                <w:sz w:val="24"/>
                <w:szCs w:val="24"/>
              </w:rPr>
            </w:pPr>
            <w:r>
              <w:rPr>
                <w:rFonts w:ascii="宋体" w:hAnsi="宋体" w:eastAsia="宋体" w:cs="宋体"/>
                <w:color w:val="auto"/>
                <w:kern w:val="0"/>
                <w:sz w:val="24"/>
                <w:szCs w:val="24"/>
              </w:rPr>
              <w:t>品牌</w:t>
            </w:r>
          </w:p>
        </w:tc>
        <w:tc>
          <w:tcPr>
            <w:tcW w:w="108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0AA82ED8">
            <w:pPr>
              <w:widowControl/>
              <w:spacing w:line="360" w:lineRule="auto"/>
              <w:rPr>
                <w:rFonts w:ascii="宋体" w:hAnsi="宋体" w:eastAsia="宋体" w:cs="宋体"/>
                <w:color w:val="auto"/>
                <w:kern w:val="0"/>
                <w:sz w:val="24"/>
                <w:szCs w:val="24"/>
              </w:rPr>
            </w:pPr>
            <w:r>
              <w:rPr>
                <w:rFonts w:ascii="宋体" w:hAnsi="宋体" w:eastAsia="宋体" w:cs="宋体"/>
                <w:color w:val="auto"/>
                <w:kern w:val="0"/>
                <w:sz w:val="24"/>
                <w:szCs w:val="24"/>
              </w:rPr>
              <w:t>型号、配置</w:t>
            </w:r>
          </w:p>
        </w:tc>
        <w:tc>
          <w:tcPr>
            <w:tcW w:w="98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3107B825">
            <w:pPr>
              <w:widowControl/>
              <w:spacing w:line="360" w:lineRule="auto"/>
              <w:rPr>
                <w:rFonts w:ascii="宋体" w:hAnsi="宋体" w:eastAsia="宋体" w:cs="宋体"/>
                <w:color w:val="auto"/>
                <w:kern w:val="0"/>
                <w:sz w:val="24"/>
                <w:szCs w:val="24"/>
              </w:rPr>
            </w:pPr>
            <w:r>
              <w:rPr>
                <w:rFonts w:ascii="宋体" w:hAnsi="宋体" w:eastAsia="宋体" w:cs="宋体"/>
                <w:color w:val="auto"/>
                <w:kern w:val="0"/>
                <w:sz w:val="24"/>
                <w:szCs w:val="24"/>
              </w:rPr>
              <w:t>出厂地</w:t>
            </w:r>
          </w:p>
        </w:tc>
        <w:tc>
          <w:tcPr>
            <w:tcW w:w="74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012A3FB6">
            <w:pPr>
              <w:widowControl/>
              <w:spacing w:line="360" w:lineRule="auto"/>
              <w:rPr>
                <w:rFonts w:ascii="宋体" w:hAnsi="宋体" w:eastAsia="宋体" w:cs="宋体"/>
                <w:color w:val="auto"/>
                <w:kern w:val="0"/>
                <w:sz w:val="24"/>
                <w:szCs w:val="24"/>
              </w:rPr>
            </w:pPr>
            <w:r>
              <w:rPr>
                <w:rFonts w:ascii="宋体" w:hAnsi="宋体" w:eastAsia="宋体" w:cs="宋体"/>
                <w:color w:val="auto"/>
                <w:kern w:val="0"/>
                <w:sz w:val="24"/>
                <w:szCs w:val="24"/>
              </w:rPr>
              <w:t>数量</w:t>
            </w:r>
          </w:p>
        </w:tc>
        <w:tc>
          <w:tcPr>
            <w:tcW w:w="107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039DFBDF">
            <w:pPr>
              <w:widowControl/>
              <w:spacing w:line="360" w:lineRule="auto"/>
              <w:rPr>
                <w:rFonts w:ascii="宋体" w:hAnsi="宋体" w:eastAsia="宋体" w:cs="宋体"/>
                <w:color w:val="auto"/>
                <w:kern w:val="0"/>
                <w:sz w:val="24"/>
                <w:szCs w:val="24"/>
              </w:rPr>
            </w:pPr>
            <w:r>
              <w:rPr>
                <w:rFonts w:hint="eastAsia" w:ascii="宋体" w:hAnsi="宋体" w:eastAsia="宋体" w:cs="宋体"/>
                <w:color w:val="auto"/>
                <w:kern w:val="0"/>
                <w:sz w:val="24"/>
                <w:szCs w:val="24"/>
              </w:rPr>
              <w:t>单位</w:t>
            </w:r>
          </w:p>
        </w:tc>
        <w:tc>
          <w:tcPr>
            <w:tcW w:w="132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00266543">
            <w:pPr>
              <w:widowControl/>
              <w:spacing w:line="360" w:lineRule="auto"/>
              <w:rPr>
                <w:rFonts w:ascii="宋体" w:hAnsi="宋体" w:eastAsia="宋体" w:cs="宋体"/>
                <w:color w:val="auto"/>
                <w:kern w:val="0"/>
                <w:sz w:val="24"/>
                <w:szCs w:val="24"/>
              </w:rPr>
            </w:pPr>
            <w:r>
              <w:rPr>
                <w:rFonts w:hint="eastAsia" w:ascii="宋体" w:hAnsi="宋体" w:eastAsia="宋体" w:cs="宋体"/>
                <w:color w:val="auto"/>
                <w:kern w:val="0"/>
                <w:sz w:val="24"/>
                <w:szCs w:val="24"/>
              </w:rPr>
              <w:t>单价</w:t>
            </w:r>
          </w:p>
        </w:tc>
        <w:tc>
          <w:tcPr>
            <w:tcW w:w="183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5C52665E">
            <w:pPr>
              <w:widowControl/>
              <w:spacing w:line="360" w:lineRule="auto"/>
              <w:rPr>
                <w:rFonts w:ascii="宋体" w:hAnsi="宋体" w:eastAsia="宋体" w:cs="宋体"/>
                <w:color w:val="auto"/>
                <w:kern w:val="0"/>
                <w:sz w:val="24"/>
                <w:szCs w:val="24"/>
              </w:rPr>
            </w:pPr>
            <w:r>
              <w:rPr>
                <w:rFonts w:hint="eastAsia" w:ascii="宋体" w:hAnsi="宋体" w:eastAsia="宋体" w:cs="宋体"/>
                <w:color w:val="auto"/>
                <w:kern w:val="0"/>
                <w:sz w:val="24"/>
                <w:szCs w:val="24"/>
              </w:rPr>
              <w:t>总金额</w:t>
            </w:r>
          </w:p>
        </w:tc>
      </w:tr>
      <w:tr w14:paraId="27D53E9D">
        <w:tblPrEx>
          <w:tblCellMar>
            <w:top w:w="15" w:type="dxa"/>
            <w:left w:w="15" w:type="dxa"/>
            <w:bottom w:w="15" w:type="dxa"/>
            <w:right w:w="15" w:type="dxa"/>
          </w:tblCellMar>
        </w:tblPrEx>
        <w:trPr>
          <w:trHeight w:val="849" w:hRule="atLeast"/>
        </w:trPr>
        <w:tc>
          <w:tcPr>
            <w:tcW w:w="127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4671358E">
            <w:pPr>
              <w:widowControl/>
              <w:spacing w:line="360" w:lineRule="auto"/>
              <w:ind w:firstLine="480"/>
              <w:jc w:val="left"/>
              <w:rPr>
                <w:rFonts w:ascii="宋体" w:hAnsi="宋体" w:eastAsia="宋体" w:cs="宋体"/>
                <w:color w:val="auto"/>
                <w:kern w:val="0"/>
                <w:sz w:val="24"/>
                <w:szCs w:val="24"/>
              </w:rPr>
            </w:pPr>
            <w:r>
              <w:rPr>
                <w:rFonts w:ascii="宋体" w:hAnsi="宋体" w:eastAsia="宋体" w:cs="宋体"/>
                <w:color w:val="auto"/>
                <w:kern w:val="0"/>
                <w:sz w:val="24"/>
                <w:szCs w:val="24"/>
              </w:rPr>
              <w:t> </w:t>
            </w:r>
          </w:p>
        </w:tc>
        <w:tc>
          <w:tcPr>
            <w:tcW w:w="90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AF40A65">
            <w:pPr>
              <w:widowControl/>
              <w:spacing w:line="360" w:lineRule="auto"/>
              <w:ind w:firstLine="480"/>
              <w:jc w:val="left"/>
              <w:rPr>
                <w:rFonts w:ascii="宋体" w:hAnsi="宋体" w:eastAsia="宋体" w:cs="宋体"/>
                <w:color w:val="auto"/>
                <w:kern w:val="0"/>
                <w:sz w:val="24"/>
                <w:szCs w:val="24"/>
              </w:rPr>
            </w:pPr>
            <w:r>
              <w:rPr>
                <w:rFonts w:ascii="宋体" w:hAnsi="宋体" w:eastAsia="宋体" w:cs="宋体"/>
                <w:color w:val="auto"/>
                <w:kern w:val="0"/>
                <w:sz w:val="24"/>
                <w:szCs w:val="24"/>
              </w:rPr>
              <w:t> </w:t>
            </w:r>
          </w:p>
        </w:tc>
        <w:tc>
          <w:tcPr>
            <w:tcW w:w="108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6514A5CD">
            <w:pPr>
              <w:widowControl/>
              <w:spacing w:line="360" w:lineRule="auto"/>
              <w:ind w:firstLine="480"/>
              <w:jc w:val="left"/>
              <w:rPr>
                <w:rFonts w:ascii="宋体" w:hAnsi="宋体" w:eastAsia="宋体" w:cs="宋体"/>
                <w:color w:val="auto"/>
                <w:kern w:val="0"/>
                <w:sz w:val="24"/>
                <w:szCs w:val="24"/>
              </w:rPr>
            </w:pPr>
            <w:r>
              <w:rPr>
                <w:rFonts w:ascii="宋体" w:hAnsi="宋体" w:eastAsia="宋体" w:cs="宋体"/>
                <w:color w:val="auto"/>
                <w:kern w:val="0"/>
                <w:sz w:val="24"/>
                <w:szCs w:val="24"/>
              </w:rPr>
              <w:t> </w:t>
            </w:r>
          </w:p>
        </w:tc>
        <w:tc>
          <w:tcPr>
            <w:tcW w:w="987"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B6B0B30">
            <w:pPr>
              <w:widowControl/>
              <w:spacing w:line="360" w:lineRule="auto"/>
              <w:ind w:firstLine="480"/>
              <w:jc w:val="left"/>
              <w:rPr>
                <w:rFonts w:ascii="宋体" w:hAnsi="宋体" w:eastAsia="宋体" w:cs="宋体"/>
                <w:color w:val="auto"/>
                <w:kern w:val="0"/>
                <w:sz w:val="24"/>
                <w:szCs w:val="24"/>
              </w:rPr>
            </w:pPr>
            <w:r>
              <w:rPr>
                <w:rFonts w:ascii="宋体" w:hAnsi="宋体" w:eastAsia="宋体" w:cs="宋体"/>
                <w:color w:val="auto"/>
                <w:kern w:val="0"/>
                <w:sz w:val="24"/>
                <w:szCs w:val="24"/>
              </w:rPr>
              <w:t> </w:t>
            </w:r>
          </w:p>
        </w:tc>
        <w:tc>
          <w:tcPr>
            <w:tcW w:w="741"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9FA0684">
            <w:pPr>
              <w:widowControl/>
              <w:spacing w:line="360" w:lineRule="auto"/>
              <w:ind w:firstLine="480"/>
              <w:jc w:val="left"/>
              <w:rPr>
                <w:rFonts w:ascii="宋体" w:hAnsi="宋体" w:eastAsia="宋体" w:cs="宋体"/>
                <w:color w:val="auto"/>
                <w:kern w:val="0"/>
                <w:sz w:val="24"/>
                <w:szCs w:val="24"/>
              </w:rPr>
            </w:pPr>
            <w:r>
              <w:rPr>
                <w:rFonts w:ascii="宋体" w:hAnsi="宋体" w:eastAsia="宋体" w:cs="宋体"/>
                <w:color w:val="auto"/>
                <w:kern w:val="0"/>
                <w:sz w:val="24"/>
                <w:szCs w:val="24"/>
              </w:rPr>
              <w:t> </w:t>
            </w:r>
          </w:p>
        </w:tc>
        <w:tc>
          <w:tcPr>
            <w:tcW w:w="1074"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D332EF0">
            <w:pPr>
              <w:widowControl/>
              <w:spacing w:line="360" w:lineRule="auto"/>
              <w:ind w:firstLine="480"/>
              <w:jc w:val="left"/>
              <w:rPr>
                <w:rFonts w:ascii="宋体" w:hAnsi="宋体" w:eastAsia="宋体" w:cs="宋体"/>
                <w:color w:val="auto"/>
                <w:kern w:val="0"/>
                <w:sz w:val="24"/>
                <w:szCs w:val="24"/>
              </w:rPr>
            </w:pPr>
            <w:r>
              <w:rPr>
                <w:rFonts w:ascii="宋体" w:hAnsi="宋体" w:eastAsia="宋体" w:cs="宋体"/>
                <w:color w:val="auto"/>
                <w:kern w:val="0"/>
                <w:sz w:val="24"/>
                <w:szCs w:val="24"/>
              </w:rPr>
              <w:t> </w:t>
            </w:r>
          </w:p>
        </w:tc>
        <w:tc>
          <w:tcPr>
            <w:tcW w:w="1323"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EAEDAB1">
            <w:pPr>
              <w:widowControl/>
              <w:spacing w:line="360" w:lineRule="auto"/>
              <w:ind w:firstLine="480"/>
              <w:jc w:val="left"/>
              <w:rPr>
                <w:rFonts w:ascii="宋体" w:hAnsi="宋体" w:eastAsia="宋体" w:cs="宋体"/>
                <w:color w:val="auto"/>
                <w:kern w:val="0"/>
                <w:sz w:val="24"/>
                <w:szCs w:val="24"/>
              </w:rPr>
            </w:pPr>
            <w:r>
              <w:rPr>
                <w:rFonts w:ascii="宋体" w:hAnsi="宋体" w:eastAsia="宋体" w:cs="宋体"/>
                <w:color w:val="auto"/>
                <w:kern w:val="0"/>
                <w:sz w:val="24"/>
                <w:szCs w:val="24"/>
              </w:rPr>
              <w:t> </w:t>
            </w:r>
          </w:p>
        </w:tc>
        <w:tc>
          <w:tcPr>
            <w:tcW w:w="1837"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7E218F7">
            <w:pPr>
              <w:widowControl/>
              <w:spacing w:line="360" w:lineRule="auto"/>
              <w:ind w:firstLine="480"/>
              <w:jc w:val="left"/>
              <w:rPr>
                <w:rFonts w:ascii="宋体" w:hAnsi="宋体" w:eastAsia="宋体" w:cs="宋体"/>
                <w:color w:val="auto"/>
                <w:kern w:val="0"/>
                <w:sz w:val="24"/>
                <w:szCs w:val="24"/>
              </w:rPr>
            </w:pPr>
          </w:p>
        </w:tc>
      </w:tr>
    </w:tbl>
    <w:p w14:paraId="7B2D7B75">
      <w:pPr>
        <w:pStyle w:val="7"/>
        <w:widowControl/>
        <w:spacing w:beforeAutospacing="0" w:afterAutospacing="0" w:line="360" w:lineRule="auto"/>
        <w:ind w:firstLine="420"/>
        <w:jc w:val="both"/>
        <w:rPr>
          <w:rFonts w:ascii="宋体" w:hAnsi="宋体" w:eastAsia="宋体" w:cs="宋体"/>
          <w:color w:val="auto"/>
          <w:szCs w:val="24"/>
        </w:rPr>
      </w:pPr>
      <w:r>
        <w:rPr>
          <w:rFonts w:hint="eastAsia" w:ascii="宋体" w:hAnsi="宋体" w:eastAsia="宋体" w:cs="宋体"/>
          <w:color w:val="auto"/>
          <w:szCs w:val="24"/>
        </w:rPr>
        <w:t> </w:t>
      </w:r>
    </w:p>
    <w:p w14:paraId="49B00888">
      <w:pPr>
        <w:pStyle w:val="7"/>
        <w:widowControl/>
        <w:spacing w:beforeAutospacing="0" w:afterAutospacing="0" w:line="360" w:lineRule="auto"/>
        <w:jc w:val="both"/>
        <w:rPr>
          <w:rFonts w:ascii="宋体" w:hAnsi="宋体" w:eastAsia="宋体" w:cs="宋体"/>
          <w:color w:val="auto"/>
          <w:szCs w:val="24"/>
        </w:rPr>
      </w:pPr>
      <w:r>
        <w:rPr>
          <w:rFonts w:hint="eastAsia" w:ascii="宋体" w:hAnsi="宋体" w:eastAsia="宋体" w:cs="宋体"/>
          <w:color w:val="auto"/>
          <w:szCs w:val="24"/>
        </w:rPr>
        <w:t>合计金额人民币（大写）：</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元整 （¥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.00）</w:t>
      </w:r>
    </w:p>
    <w:p w14:paraId="6E1E5F10">
      <w:pPr>
        <w:widowControl/>
        <w:spacing w:line="360" w:lineRule="auto"/>
        <w:ind w:firstLine="480"/>
        <w:jc w:val="left"/>
        <w:rPr>
          <w:rFonts w:ascii="宋体" w:hAnsi="宋体" w:eastAsia="宋体" w:cs="宋体"/>
          <w:color w:val="auto"/>
          <w:kern w:val="0"/>
          <w:sz w:val="24"/>
          <w:szCs w:val="24"/>
        </w:rPr>
      </w:pPr>
    </w:p>
    <w:p w14:paraId="1F3C8D92">
      <w:pPr>
        <w:widowControl/>
        <w:spacing w:line="360" w:lineRule="auto"/>
        <w:ind w:left="840" w:hanging="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二、货物主要技术参数（请详细列出）</w:t>
      </w:r>
    </w:p>
    <w:p w14:paraId="3F3CCE56">
      <w:pPr>
        <w:widowControl/>
        <w:spacing w:line="360" w:lineRule="auto"/>
        <w:ind w:left="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r>
        <w:rPr>
          <w:rFonts w:hint="eastAsia" w:ascii="宋体" w:hAnsi="宋体" w:eastAsia="宋体" w:cs="宋体"/>
          <w:color w:val="auto"/>
          <w:kern w:val="0"/>
          <w:sz w:val="24"/>
          <w:szCs w:val="24"/>
          <w:highlight w:val="yellow"/>
        </w:rPr>
        <w:t>（与采购公告保持一致）</w:t>
      </w:r>
    </w:p>
    <w:p w14:paraId="570C55CC">
      <w:pPr>
        <w:widowControl/>
        <w:spacing w:line="360" w:lineRule="auto"/>
        <w:ind w:left="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p w14:paraId="06FF8597">
      <w:pPr>
        <w:widowControl/>
        <w:numPr>
          <w:ilvl w:val="0"/>
          <w:numId w:val="1"/>
        </w:numPr>
        <w:spacing w:line="360" w:lineRule="auto"/>
        <w:ind w:left="840" w:hanging="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乙方售后服务（请列明且详细）：</w:t>
      </w:r>
    </w:p>
    <w:p w14:paraId="33D02848">
      <w:pPr>
        <w:widowControl/>
        <w:spacing w:line="360" w:lineRule="auto"/>
        <w:ind w:left="420"/>
        <w:jc w:val="left"/>
        <w:rPr>
          <w:rFonts w:ascii="宋体" w:hAnsi="宋体" w:eastAsia="宋体" w:cs="宋体"/>
          <w:color w:val="auto"/>
          <w:kern w:val="0"/>
          <w:sz w:val="24"/>
          <w:szCs w:val="24"/>
          <w:highlight w:val="yellow"/>
        </w:rPr>
      </w:pP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highlight w:val="yellow"/>
        </w:rPr>
        <w:t xml:space="preserve"> （与采购公告保持一致）</w:t>
      </w:r>
    </w:p>
    <w:p w14:paraId="1B554D6F">
      <w:pPr>
        <w:widowControl/>
        <w:spacing w:line="360" w:lineRule="auto"/>
        <w:jc w:val="left"/>
        <w:rPr>
          <w:rFonts w:ascii="宋体" w:hAnsi="宋体" w:eastAsia="宋体" w:cs="宋体"/>
          <w:color w:val="000000"/>
          <w:kern w:val="0"/>
          <w:sz w:val="24"/>
          <w:szCs w:val="24"/>
          <w:highlight w:val="yellow"/>
        </w:rPr>
      </w:pPr>
    </w:p>
    <w:p w14:paraId="2676E475">
      <w:pPr>
        <w:widowControl/>
        <w:spacing w:line="360" w:lineRule="auto"/>
        <w:jc w:val="left"/>
        <w:rPr>
          <w:rFonts w:ascii="宋体" w:hAnsi="宋体" w:eastAsia="宋体" w:cs="宋体"/>
          <w:color w:val="000000"/>
          <w:kern w:val="0"/>
          <w:sz w:val="24"/>
          <w:szCs w:val="24"/>
          <w:highlight w:val="yellow"/>
        </w:rPr>
      </w:pPr>
    </w:p>
    <w:p w14:paraId="295C345F">
      <w:pPr>
        <w:pStyle w:val="7"/>
        <w:widowControl/>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甲方：福建理工大学</w:t>
      </w:r>
    </w:p>
    <w:p w14:paraId="3E0C76C1">
      <w:pPr>
        <w:pStyle w:val="7"/>
        <w:widowControl/>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eastAsia="zh-CN"/>
        </w:rPr>
        <w:t>单位地址：福州市闽侯县上街镇学府南路69号</w:t>
      </w:r>
    </w:p>
    <w:p w14:paraId="651B6F1E">
      <w:pPr>
        <w:pStyle w:val="7"/>
        <w:widowControl/>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rPr>
        <w:t>法定代表人：</w:t>
      </w:r>
      <w:r>
        <w:rPr>
          <w:rFonts w:hint="eastAsia" w:ascii="宋体" w:hAnsi="宋体" w:eastAsia="宋体" w:cs="宋体"/>
          <w:color w:val="auto"/>
          <w:shd w:val="clear" w:color="auto" w:fill="FFFFFF"/>
          <w:lang w:val="en-US" w:eastAsia="zh-CN"/>
        </w:rPr>
        <w:t>韦建刚</w:t>
      </w:r>
      <w:bookmarkStart w:id="0" w:name="_GoBack"/>
      <w:bookmarkEnd w:id="0"/>
    </w:p>
    <w:p w14:paraId="61AA92A2">
      <w:pPr>
        <w:pStyle w:val="7"/>
        <w:widowControl/>
        <w:spacing w:beforeAutospacing="0" w:afterAutospacing="0" w:line="360" w:lineRule="auto"/>
        <w:ind w:firstLine="420"/>
        <w:jc w:val="both"/>
        <w:rPr>
          <w:rFonts w:hint="eastAsia" w:ascii="宋体" w:hAnsi="宋体" w:eastAsia="宋体" w:cs="宋体"/>
          <w:color w:val="auto"/>
          <w:highlight w:val="yellow"/>
          <w:shd w:val="clear" w:color="auto" w:fill="FFFFFF"/>
          <w:lang w:val="en-US" w:eastAsia="zh-CN"/>
        </w:rPr>
      </w:pPr>
      <w:r>
        <w:rPr>
          <w:rFonts w:hint="eastAsia" w:ascii="宋体" w:hAnsi="宋体" w:eastAsia="宋体" w:cs="宋体"/>
          <w:color w:val="auto"/>
          <w:shd w:val="clear" w:color="auto" w:fill="FFFFFF"/>
        </w:rPr>
        <w:t>委托代理人：</w:t>
      </w:r>
      <w:r>
        <w:rPr>
          <w:rFonts w:hint="eastAsia" w:ascii="宋体" w:hAnsi="宋体" w:eastAsia="宋体" w:cs="宋体"/>
          <w:color w:val="auto"/>
          <w:highlight w:val="yellow"/>
          <w:shd w:val="clear" w:color="auto" w:fill="FFFFFF"/>
        </w:rPr>
        <w:t>部门负责人或经费负责人</w:t>
      </w:r>
    </w:p>
    <w:p w14:paraId="4F01BA3D">
      <w:pPr>
        <w:pStyle w:val="7"/>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联系电话：</w:t>
      </w:r>
    </w:p>
    <w:p w14:paraId="01F13F3F">
      <w:pPr>
        <w:pStyle w:val="7"/>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开户银行：中国建设银行股份有限公司福州大学城支行</w:t>
      </w:r>
    </w:p>
    <w:p w14:paraId="713EF57B">
      <w:pPr>
        <w:pStyle w:val="7"/>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账号：</w:t>
      </w:r>
      <w:r>
        <w:rPr>
          <w:rFonts w:hint="eastAsia" w:ascii="宋体" w:hAnsi="宋体" w:eastAsia="宋体" w:cs="宋体"/>
          <w:color w:val="auto"/>
          <w:shd w:val="clear" w:color="auto" w:fill="FFFFFF"/>
          <w:lang w:val="en-US"/>
        </w:rPr>
        <w:t>35050161990109123123</w:t>
      </w:r>
    </w:p>
    <w:p w14:paraId="7DE04227">
      <w:pPr>
        <w:pStyle w:val="7"/>
        <w:widowControl/>
        <w:spacing w:beforeAutospacing="0" w:afterAutospacing="0" w:line="360" w:lineRule="auto"/>
        <w:ind w:firstLine="480" w:firstLineChars="200"/>
        <w:jc w:val="both"/>
        <w:rPr>
          <w:rFonts w:ascii="宋体" w:hAnsi="宋体" w:eastAsia="宋体" w:cs="宋体"/>
          <w:color w:val="auto"/>
          <w:shd w:val="clear" w:color="auto" w:fill="FFFFFF"/>
        </w:rPr>
      </w:pPr>
    </w:p>
    <w:p w14:paraId="54162E7E">
      <w:pPr>
        <w:pStyle w:val="7"/>
        <w:widowControl/>
        <w:spacing w:beforeAutospacing="0" w:afterAutospacing="0" w:line="360" w:lineRule="auto"/>
        <w:ind w:firstLine="480" w:firstLineChars="20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乙方：</w:t>
      </w:r>
    </w:p>
    <w:p w14:paraId="30D6C48F">
      <w:pPr>
        <w:pStyle w:val="7"/>
        <w:widowControl/>
        <w:spacing w:beforeAutospacing="0" w:afterAutospacing="0" w:line="360" w:lineRule="auto"/>
        <w:ind w:firstLine="480" w:firstLineChars="20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eastAsia="zh-CN"/>
        </w:rPr>
        <w:t>单位地址：</w:t>
      </w:r>
    </w:p>
    <w:p w14:paraId="64A3762E">
      <w:pPr>
        <w:pStyle w:val="7"/>
        <w:widowControl/>
        <w:spacing w:beforeAutospacing="0" w:afterAutospacing="0" w:line="360" w:lineRule="auto"/>
        <w:ind w:firstLine="480" w:firstLineChars="20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法定代表人：</w:t>
      </w:r>
    </w:p>
    <w:p w14:paraId="5490605F">
      <w:pPr>
        <w:pStyle w:val="7"/>
        <w:widowControl/>
        <w:spacing w:beforeAutospacing="0" w:afterAutospacing="0" w:line="360" w:lineRule="auto"/>
        <w:ind w:firstLine="480" w:firstLineChars="20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委托代理人</w:t>
      </w:r>
    </w:p>
    <w:p w14:paraId="6532E468">
      <w:pPr>
        <w:pStyle w:val="7"/>
        <w:widowControl/>
        <w:spacing w:beforeAutospacing="0" w:afterAutospacing="0" w:line="360" w:lineRule="auto"/>
        <w:ind w:firstLine="480" w:firstLineChars="200"/>
        <w:jc w:val="both"/>
        <w:rPr>
          <w:color w:val="auto"/>
        </w:rPr>
      </w:pPr>
      <w:r>
        <w:rPr>
          <w:rFonts w:hint="eastAsia" w:ascii="宋体" w:hAnsi="宋体" w:eastAsia="宋体" w:cs="宋体"/>
          <w:color w:val="auto"/>
          <w:shd w:val="clear" w:color="auto" w:fill="FFFFFF"/>
        </w:rPr>
        <w:t>联系电话：</w:t>
      </w:r>
    </w:p>
    <w:p w14:paraId="78C758A9">
      <w:pPr>
        <w:pStyle w:val="7"/>
        <w:widowControl/>
        <w:spacing w:beforeAutospacing="0" w:afterAutospacing="0" w:line="360" w:lineRule="auto"/>
        <w:ind w:firstLine="480" w:firstLineChars="20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开户银行：</w:t>
      </w:r>
    </w:p>
    <w:p w14:paraId="701E7355">
      <w:pPr>
        <w:pStyle w:val="7"/>
        <w:spacing w:beforeAutospacing="0" w:afterAutospacing="0" w:line="360" w:lineRule="auto"/>
        <w:ind w:firstLine="480" w:firstLineChars="200"/>
        <w:jc w:val="both"/>
        <w:rPr>
          <w:rFonts w:ascii="宋体" w:hAnsi="宋体" w:eastAsia="宋体" w:cs="宋体"/>
          <w:color w:val="000000"/>
          <w:kern w:val="0"/>
          <w:sz w:val="24"/>
          <w:szCs w:val="24"/>
        </w:rPr>
      </w:pPr>
      <w:r>
        <w:rPr>
          <w:rFonts w:hint="eastAsia" w:ascii="宋体" w:hAnsi="宋体" w:eastAsia="宋体" w:cs="宋体"/>
          <w:color w:val="auto"/>
          <w:shd w:val="clear" w:color="auto" w:fill="FFFFFF"/>
        </w:rPr>
        <w:t>账号：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686E2"/>
    <w:multiLevelType w:val="singleLevel"/>
    <w:tmpl w:val="97D686E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DJlOWU5MTc5NWZhYmZjOTA5MzUzYTI0ZDExNzIifQ=="/>
  </w:docVars>
  <w:rsids>
    <w:rsidRoot w:val="00DC1E5D"/>
    <w:rsid w:val="001F4CB0"/>
    <w:rsid w:val="00201FEC"/>
    <w:rsid w:val="0039704A"/>
    <w:rsid w:val="00456167"/>
    <w:rsid w:val="00594693"/>
    <w:rsid w:val="005D15AF"/>
    <w:rsid w:val="00762285"/>
    <w:rsid w:val="008D22D6"/>
    <w:rsid w:val="00935051"/>
    <w:rsid w:val="00AA512D"/>
    <w:rsid w:val="00B56BA7"/>
    <w:rsid w:val="00BC25D5"/>
    <w:rsid w:val="00CA4572"/>
    <w:rsid w:val="00DC1E5D"/>
    <w:rsid w:val="00E23757"/>
    <w:rsid w:val="00E977E5"/>
    <w:rsid w:val="00F62719"/>
    <w:rsid w:val="032B6C3A"/>
    <w:rsid w:val="037B54CB"/>
    <w:rsid w:val="04D63E97"/>
    <w:rsid w:val="04D83FF7"/>
    <w:rsid w:val="05D26D4E"/>
    <w:rsid w:val="0815758C"/>
    <w:rsid w:val="08872B64"/>
    <w:rsid w:val="092624E4"/>
    <w:rsid w:val="0BD76ACC"/>
    <w:rsid w:val="0D3E1266"/>
    <w:rsid w:val="0FFC73C9"/>
    <w:rsid w:val="146E5AC3"/>
    <w:rsid w:val="15D32F7C"/>
    <w:rsid w:val="173D23A7"/>
    <w:rsid w:val="179D771F"/>
    <w:rsid w:val="19D142FC"/>
    <w:rsid w:val="1A42145C"/>
    <w:rsid w:val="1A5F6B66"/>
    <w:rsid w:val="1DCD0665"/>
    <w:rsid w:val="1DFB57AD"/>
    <w:rsid w:val="1E595CF5"/>
    <w:rsid w:val="21725380"/>
    <w:rsid w:val="225B49EE"/>
    <w:rsid w:val="262131A3"/>
    <w:rsid w:val="277E63C5"/>
    <w:rsid w:val="278B0AA3"/>
    <w:rsid w:val="28A013AD"/>
    <w:rsid w:val="2AB358FA"/>
    <w:rsid w:val="2AB669F3"/>
    <w:rsid w:val="2DBF2474"/>
    <w:rsid w:val="310E3751"/>
    <w:rsid w:val="32221084"/>
    <w:rsid w:val="33870352"/>
    <w:rsid w:val="3764733A"/>
    <w:rsid w:val="37C369C1"/>
    <w:rsid w:val="38F17A02"/>
    <w:rsid w:val="3DB101F9"/>
    <w:rsid w:val="3E736BA1"/>
    <w:rsid w:val="406064C9"/>
    <w:rsid w:val="428F2EF9"/>
    <w:rsid w:val="42D60511"/>
    <w:rsid w:val="43041F0F"/>
    <w:rsid w:val="45F279F2"/>
    <w:rsid w:val="4DA875F3"/>
    <w:rsid w:val="4F547FA7"/>
    <w:rsid w:val="4F852E71"/>
    <w:rsid w:val="51661B8D"/>
    <w:rsid w:val="523F0171"/>
    <w:rsid w:val="52923797"/>
    <w:rsid w:val="530B53A6"/>
    <w:rsid w:val="576B522A"/>
    <w:rsid w:val="57D4431F"/>
    <w:rsid w:val="5AFB2E23"/>
    <w:rsid w:val="5DB148CC"/>
    <w:rsid w:val="5DDB6408"/>
    <w:rsid w:val="5E9000DB"/>
    <w:rsid w:val="601C4AB5"/>
    <w:rsid w:val="62BA3D7B"/>
    <w:rsid w:val="6C307222"/>
    <w:rsid w:val="6D0C4DC2"/>
    <w:rsid w:val="74574FFB"/>
    <w:rsid w:val="75355FA6"/>
    <w:rsid w:val="78876ABD"/>
    <w:rsid w:val="78DE4B67"/>
    <w:rsid w:val="7B192B96"/>
    <w:rsid w:val="7E603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autoRedefine/>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5"/>
    <w:autoRedefine/>
    <w:unhideWhenUsed/>
    <w:qFormat/>
    <w:uiPriority w:val="0"/>
    <w:pPr>
      <w:jc w:val="left"/>
    </w:pPr>
  </w:style>
  <w:style w:type="paragraph" w:styleId="4">
    <w:name w:val="Balloon Text"/>
    <w:basedOn w:val="1"/>
    <w:link w:val="17"/>
    <w:autoRedefine/>
    <w:semiHidden/>
    <w:unhideWhenUsed/>
    <w:qFormat/>
    <w:uiPriority w:val="99"/>
    <w:rPr>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99"/>
    <w:pPr>
      <w:spacing w:beforeAutospacing="1" w:afterAutospacing="1"/>
      <w:jc w:val="left"/>
    </w:pPr>
    <w:rPr>
      <w:kern w:val="0"/>
      <w:sz w:val="24"/>
    </w:rPr>
  </w:style>
  <w:style w:type="paragraph" w:styleId="8">
    <w:name w:val="annotation subject"/>
    <w:basedOn w:val="3"/>
    <w:next w:val="3"/>
    <w:link w:val="16"/>
    <w:autoRedefine/>
    <w:semiHidden/>
    <w:unhideWhenUsed/>
    <w:qFormat/>
    <w:uiPriority w:val="99"/>
    <w:rPr>
      <w:b/>
      <w:bCs/>
    </w:rPr>
  </w:style>
  <w:style w:type="character" w:styleId="11">
    <w:name w:val="Strong"/>
    <w:basedOn w:val="10"/>
    <w:qFormat/>
    <w:uiPriority w:val="22"/>
    <w:rPr>
      <w:b/>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6"/>
    <w:autoRedefine/>
    <w:qFormat/>
    <w:uiPriority w:val="99"/>
    <w:rPr>
      <w:sz w:val="18"/>
      <w:szCs w:val="18"/>
    </w:rPr>
  </w:style>
  <w:style w:type="character" w:customStyle="1" w:styleId="14">
    <w:name w:val="页脚 字符"/>
    <w:basedOn w:val="10"/>
    <w:link w:val="5"/>
    <w:autoRedefine/>
    <w:qFormat/>
    <w:uiPriority w:val="99"/>
    <w:rPr>
      <w:sz w:val="18"/>
      <w:szCs w:val="18"/>
    </w:rPr>
  </w:style>
  <w:style w:type="character" w:customStyle="1" w:styleId="15">
    <w:name w:val="批注文字 字符"/>
    <w:basedOn w:val="10"/>
    <w:link w:val="3"/>
    <w:autoRedefine/>
    <w:qFormat/>
    <w:uiPriority w:val="0"/>
    <w:rPr>
      <w:kern w:val="2"/>
      <w:sz w:val="21"/>
      <w:szCs w:val="22"/>
    </w:rPr>
  </w:style>
  <w:style w:type="character" w:customStyle="1" w:styleId="16">
    <w:name w:val="批注主题 字符"/>
    <w:basedOn w:val="15"/>
    <w:link w:val="8"/>
    <w:autoRedefine/>
    <w:semiHidden/>
    <w:qFormat/>
    <w:uiPriority w:val="99"/>
    <w:rPr>
      <w:b/>
      <w:bCs/>
      <w:kern w:val="2"/>
      <w:sz w:val="21"/>
      <w:szCs w:val="22"/>
    </w:rPr>
  </w:style>
  <w:style w:type="character" w:customStyle="1" w:styleId="17">
    <w:name w:val="批注框文本 字符"/>
    <w:basedOn w:val="10"/>
    <w:link w:val="4"/>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3434</Words>
  <Characters>3480</Characters>
  <Lines>24</Lines>
  <Paragraphs>6</Paragraphs>
  <TotalTime>5</TotalTime>
  <ScaleCrop>false</ScaleCrop>
  <LinksUpToDate>false</LinksUpToDate>
  <CharactersWithSpaces>3612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2024-01-08T03:15:00Z</dcterms:created>
  <dc:creator>Administrator</dc:creator>
  <cp:lastModifiedBy>Administrator</cp:lastModifiedBy>
  <cp:lastPrinted>2024-01-04T08:21:00Z</cp:lastPrinted>
  <dcterms:modified xsi:type="dcterms:W3CDTF">2024-10-25T02:10:53Z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D00FE7F8564D4F7DA3BF60FE008AC042_12</vt:lpwstr>
  </property>
</Properties>
</file>