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F3CAA">
      <w:pPr>
        <w:pStyle w:val="6"/>
        <w:jc w:val="center"/>
        <w:outlineLvl w:val="0"/>
        <w:rPr>
          <w:b/>
          <w:color w:val="auto"/>
          <w:sz w:val="72"/>
          <w:szCs w:val="72"/>
          <w:highlight w:val="none"/>
        </w:rPr>
      </w:pPr>
    </w:p>
    <w:p w14:paraId="5E11E545">
      <w:pPr>
        <w:pStyle w:val="6"/>
        <w:jc w:val="center"/>
        <w:outlineLvl w:val="0"/>
        <w:rPr>
          <w:color w:val="auto"/>
          <w:sz w:val="72"/>
          <w:szCs w:val="72"/>
          <w:highlight w:val="none"/>
        </w:rPr>
      </w:pPr>
      <w:r>
        <w:rPr>
          <w:b/>
          <w:color w:val="auto"/>
          <w:sz w:val="72"/>
          <w:szCs w:val="72"/>
          <w:highlight w:val="none"/>
        </w:rPr>
        <w:t>福建省政府采购</w:t>
      </w:r>
    </w:p>
    <w:p w14:paraId="15DAD296">
      <w:pPr>
        <w:pStyle w:val="6"/>
        <w:jc w:val="center"/>
        <w:outlineLvl w:val="0"/>
        <w:rPr>
          <w:color w:val="auto"/>
          <w:sz w:val="72"/>
          <w:szCs w:val="72"/>
          <w:highlight w:val="none"/>
        </w:rPr>
      </w:pPr>
      <w:r>
        <w:rPr>
          <w:b/>
          <w:color w:val="auto"/>
          <w:sz w:val="72"/>
          <w:szCs w:val="72"/>
          <w:highlight w:val="none"/>
        </w:rPr>
        <w:t>货物和服务项目</w:t>
      </w:r>
    </w:p>
    <w:p w14:paraId="5F76AF19">
      <w:pPr>
        <w:pStyle w:val="6"/>
        <w:jc w:val="center"/>
        <w:outlineLvl w:val="0"/>
        <w:rPr>
          <w:b/>
          <w:color w:val="auto"/>
          <w:sz w:val="72"/>
          <w:szCs w:val="72"/>
          <w:highlight w:val="none"/>
        </w:rPr>
      </w:pPr>
      <w:r>
        <w:rPr>
          <w:b/>
          <w:color w:val="auto"/>
          <w:sz w:val="72"/>
          <w:szCs w:val="72"/>
          <w:highlight w:val="none"/>
        </w:rPr>
        <w:t>公开招标文件</w:t>
      </w:r>
    </w:p>
    <w:p w14:paraId="5E14F0E4">
      <w:pPr>
        <w:pStyle w:val="6"/>
        <w:jc w:val="center"/>
        <w:outlineLvl w:val="0"/>
        <w:rPr>
          <w:rFonts w:hint="eastAsia" w:eastAsiaTheme="minorEastAsia"/>
          <w:b/>
          <w:color w:val="auto"/>
          <w:sz w:val="72"/>
          <w:szCs w:val="72"/>
          <w:highlight w:val="none"/>
          <w:lang w:eastAsia="zh-CN"/>
        </w:rPr>
      </w:pPr>
      <w:r>
        <w:rPr>
          <w:rFonts w:hint="eastAsia"/>
          <w:b/>
          <w:color w:val="auto"/>
          <w:sz w:val="72"/>
          <w:szCs w:val="72"/>
          <w:highlight w:val="none"/>
          <w:lang w:eastAsia="zh-CN"/>
        </w:rPr>
        <w:t>（</w:t>
      </w:r>
      <w:r>
        <w:rPr>
          <w:rFonts w:hint="eastAsia"/>
          <w:b/>
          <w:color w:val="auto"/>
          <w:sz w:val="72"/>
          <w:szCs w:val="72"/>
          <w:highlight w:val="none"/>
          <w:lang w:val="en-US" w:eastAsia="zh-CN"/>
        </w:rPr>
        <w:t>预公告版</w:t>
      </w:r>
      <w:r>
        <w:rPr>
          <w:rFonts w:hint="eastAsia"/>
          <w:b/>
          <w:color w:val="auto"/>
          <w:sz w:val="72"/>
          <w:szCs w:val="72"/>
          <w:highlight w:val="none"/>
          <w:lang w:eastAsia="zh-CN"/>
        </w:rPr>
        <w:t>）</w:t>
      </w:r>
    </w:p>
    <w:p w14:paraId="77B4CD65">
      <w:pPr>
        <w:pStyle w:val="6"/>
        <w:jc w:val="both"/>
        <w:outlineLvl w:val="2"/>
        <w:rPr>
          <w:b/>
          <w:color w:val="auto"/>
          <w:sz w:val="32"/>
          <w:szCs w:val="32"/>
          <w:highlight w:val="none"/>
        </w:rPr>
      </w:pPr>
    </w:p>
    <w:p w14:paraId="50740743">
      <w:pPr>
        <w:pStyle w:val="6"/>
        <w:jc w:val="both"/>
        <w:outlineLvl w:val="2"/>
        <w:rPr>
          <w:b/>
          <w:color w:val="auto"/>
          <w:sz w:val="32"/>
          <w:szCs w:val="32"/>
          <w:highlight w:val="none"/>
        </w:rPr>
      </w:pPr>
    </w:p>
    <w:p w14:paraId="3522AD8F">
      <w:pPr>
        <w:pStyle w:val="6"/>
        <w:jc w:val="center"/>
        <w:outlineLvl w:val="2"/>
        <w:rPr>
          <w:color w:val="auto"/>
          <w:sz w:val="32"/>
          <w:szCs w:val="32"/>
          <w:highlight w:val="none"/>
        </w:rPr>
      </w:pPr>
      <w:r>
        <w:rPr>
          <w:b/>
          <w:color w:val="auto"/>
          <w:sz w:val="32"/>
          <w:szCs w:val="32"/>
          <w:highlight w:val="none"/>
        </w:rPr>
        <w:t>项目名称：福建理工大学旗山校区2024－2026年保安服务采购项目</w:t>
      </w:r>
    </w:p>
    <w:p w14:paraId="786CA81D">
      <w:pPr>
        <w:pStyle w:val="6"/>
        <w:jc w:val="center"/>
        <w:outlineLvl w:val="2"/>
        <w:rPr>
          <w:color w:val="auto"/>
          <w:sz w:val="32"/>
          <w:szCs w:val="32"/>
          <w:highlight w:val="none"/>
        </w:rPr>
      </w:pPr>
      <w:r>
        <w:rPr>
          <w:b/>
          <w:color w:val="auto"/>
          <w:sz w:val="32"/>
          <w:szCs w:val="32"/>
          <w:highlight w:val="none"/>
        </w:rPr>
        <w:t>备案编号：CGXM-2024-350001-04509[2024]05071</w:t>
      </w:r>
    </w:p>
    <w:p w14:paraId="26D73196">
      <w:pPr>
        <w:pStyle w:val="6"/>
        <w:jc w:val="center"/>
        <w:outlineLvl w:val="2"/>
        <w:rPr>
          <w:color w:val="auto"/>
          <w:sz w:val="32"/>
          <w:szCs w:val="32"/>
          <w:highlight w:val="none"/>
        </w:rPr>
      </w:pPr>
      <w:r>
        <w:rPr>
          <w:b/>
          <w:color w:val="auto"/>
          <w:sz w:val="32"/>
          <w:szCs w:val="32"/>
          <w:highlight w:val="none"/>
        </w:rPr>
        <w:t>项目编号：[350001]FJHC[GK]2024009</w:t>
      </w:r>
    </w:p>
    <w:p w14:paraId="0B462A90">
      <w:pPr>
        <w:pStyle w:val="6"/>
        <w:jc w:val="center"/>
        <w:outlineLvl w:val="2"/>
        <w:rPr>
          <w:b/>
          <w:color w:val="auto"/>
          <w:sz w:val="32"/>
          <w:szCs w:val="32"/>
          <w:highlight w:val="none"/>
        </w:rPr>
      </w:pPr>
    </w:p>
    <w:p w14:paraId="687A1A76">
      <w:pPr>
        <w:pStyle w:val="6"/>
        <w:jc w:val="center"/>
        <w:outlineLvl w:val="2"/>
        <w:rPr>
          <w:b/>
          <w:color w:val="auto"/>
          <w:sz w:val="32"/>
          <w:szCs w:val="32"/>
          <w:highlight w:val="none"/>
        </w:rPr>
      </w:pPr>
    </w:p>
    <w:p w14:paraId="480A7BB5">
      <w:pPr>
        <w:pStyle w:val="6"/>
        <w:jc w:val="center"/>
        <w:outlineLvl w:val="2"/>
        <w:rPr>
          <w:b/>
          <w:color w:val="auto"/>
          <w:sz w:val="32"/>
          <w:szCs w:val="32"/>
          <w:highlight w:val="none"/>
        </w:rPr>
      </w:pPr>
    </w:p>
    <w:p w14:paraId="0D63081F">
      <w:pPr>
        <w:pStyle w:val="6"/>
        <w:jc w:val="center"/>
        <w:outlineLvl w:val="2"/>
        <w:rPr>
          <w:b/>
          <w:color w:val="auto"/>
          <w:sz w:val="32"/>
          <w:szCs w:val="32"/>
          <w:highlight w:val="none"/>
        </w:rPr>
      </w:pPr>
    </w:p>
    <w:p w14:paraId="7D04D170">
      <w:pPr>
        <w:pStyle w:val="6"/>
        <w:jc w:val="center"/>
        <w:outlineLvl w:val="2"/>
        <w:rPr>
          <w:color w:val="auto"/>
          <w:sz w:val="32"/>
          <w:szCs w:val="32"/>
          <w:highlight w:val="none"/>
        </w:rPr>
      </w:pPr>
      <w:r>
        <w:rPr>
          <w:b/>
          <w:color w:val="auto"/>
          <w:sz w:val="32"/>
          <w:szCs w:val="32"/>
          <w:highlight w:val="none"/>
        </w:rPr>
        <w:t>采购人：福建理工大学</w:t>
      </w:r>
    </w:p>
    <w:p w14:paraId="1B312E53">
      <w:pPr>
        <w:pStyle w:val="6"/>
        <w:jc w:val="center"/>
        <w:outlineLvl w:val="2"/>
        <w:rPr>
          <w:color w:val="auto"/>
          <w:sz w:val="32"/>
          <w:szCs w:val="32"/>
          <w:highlight w:val="none"/>
        </w:rPr>
      </w:pPr>
      <w:r>
        <w:rPr>
          <w:b/>
          <w:color w:val="auto"/>
          <w:sz w:val="32"/>
          <w:szCs w:val="32"/>
          <w:highlight w:val="none"/>
        </w:rPr>
        <w:t>代理机构：福建华晨项目管理有限公司</w:t>
      </w:r>
    </w:p>
    <w:p w14:paraId="0BBB9E4E">
      <w:pPr>
        <w:pStyle w:val="6"/>
        <w:jc w:val="center"/>
        <w:outlineLvl w:val="2"/>
        <w:rPr>
          <w:b/>
          <w:color w:val="auto"/>
          <w:sz w:val="32"/>
          <w:szCs w:val="32"/>
          <w:highlight w:val="none"/>
        </w:rPr>
      </w:pPr>
    </w:p>
    <w:p w14:paraId="2E9372FB">
      <w:pPr>
        <w:pStyle w:val="6"/>
        <w:jc w:val="center"/>
        <w:outlineLvl w:val="2"/>
        <w:rPr>
          <w:b/>
          <w:color w:val="auto"/>
          <w:sz w:val="32"/>
          <w:szCs w:val="32"/>
          <w:highlight w:val="none"/>
        </w:rPr>
      </w:pPr>
    </w:p>
    <w:p w14:paraId="4C69A465">
      <w:pPr>
        <w:pStyle w:val="6"/>
        <w:jc w:val="center"/>
        <w:outlineLvl w:val="2"/>
        <w:rPr>
          <w:color w:val="auto"/>
          <w:sz w:val="32"/>
          <w:szCs w:val="32"/>
          <w:highlight w:val="none"/>
        </w:rPr>
      </w:pPr>
      <w:r>
        <w:rPr>
          <w:b/>
          <w:color w:val="auto"/>
          <w:sz w:val="32"/>
          <w:szCs w:val="32"/>
          <w:highlight w:val="none"/>
        </w:rPr>
        <w:t>编制时间：2024年07月</w:t>
      </w:r>
    </w:p>
    <w:p w14:paraId="28126C33">
      <w:pPr>
        <w:pStyle w:val="6"/>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CC766C5">
      <w:pPr>
        <w:pStyle w:val="6"/>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第一章 投标邀请</w:t>
      </w:r>
    </w:p>
    <w:p w14:paraId="70215D8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福建华晨项目管理有限公司 采用公开招标方式组织 福建理工大学旗山校区2024－2026年保安服务采购项目 （以下简称：“本项目”）的政府采购活动，现邀请供应商参加投标。</w:t>
      </w:r>
    </w:p>
    <w:p w14:paraId="1AA334F7">
      <w:pPr>
        <w:pStyle w:val="6"/>
        <w:ind w:firstLine="482"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1、备案编号：CGXM-2024-350001-04509[2024]05071</w:t>
      </w:r>
    </w:p>
    <w:p w14:paraId="3676AE4E">
      <w:pPr>
        <w:pStyle w:val="6"/>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2、项目编号：[350001]FJHC[GK]2024009</w:t>
      </w:r>
    </w:p>
    <w:p w14:paraId="2B79E8C0">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3、预算金额、最高限价：详见《采购标的一览表》。</w:t>
      </w:r>
    </w:p>
    <w:p w14:paraId="6F1180A7">
      <w:pPr>
        <w:pStyle w:val="6"/>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4、招标内容及要求：详见《采购标的一览表》及招标文件第五章。</w:t>
      </w:r>
    </w:p>
    <w:p w14:paraId="00A128B0">
      <w:pPr>
        <w:pStyle w:val="6"/>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5、需要落实的政府采购政策</w:t>
      </w:r>
    </w:p>
    <w:p w14:paraId="7147D363">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进口产品：不适用。</w:t>
      </w:r>
    </w:p>
    <w:p w14:paraId="4C72659D">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节能产品：不适用。</w:t>
      </w:r>
    </w:p>
    <w:p w14:paraId="6892FE03">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环境标志产品：不适用。</w:t>
      </w:r>
      <w:bookmarkStart w:id="0" w:name="_GoBack"/>
      <w:bookmarkEnd w:id="0"/>
    </w:p>
    <w:p w14:paraId="1A91D1C8">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09389CEC">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采购包1：专门采购包预留</w:t>
      </w:r>
    </w:p>
    <w:p w14:paraId="6B7A0CF5">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面向的企业规模：中小企业</w:t>
      </w:r>
    </w:p>
    <w:p w14:paraId="4DA6BC3A">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预留形式：专门采购包预留</w:t>
      </w:r>
    </w:p>
    <w:p w14:paraId="3860604F">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预留比例：100%</w:t>
      </w:r>
    </w:p>
    <w:p w14:paraId="5E703DF0">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6、投标人的资格要求</w:t>
      </w:r>
    </w:p>
    <w:p w14:paraId="7CEB6185">
      <w:pPr>
        <w:pStyle w:val="6"/>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6.1法定条件：符合政府采购法第二十二条第一款规定的条件。</w:t>
      </w:r>
    </w:p>
    <w:p w14:paraId="46C3BE8E">
      <w:pPr>
        <w:pStyle w:val="6"/>
        <w:ind w:firstLine="960" w:firstLineChars="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6.2特定条件：</w:t>
      </w:r>
    </w:p>
    <w:p w14:paraId="11CED8CB">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4"/>
        <w:tblW w:w="0" w:type="auto"/>
        <w:tblInd w:w="1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7"/>
        <w:gridCol w:w="6983"/>
      </w:tblGrid>
      <w:tr w14:paraId="75C4C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7" w:type="dxa"/>
          </w:tcPr>
          <w:p w14:paraId="3EE388F0">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6983" w:type="dxa"/>
          </w:tcPr>
          <w:p w14:paraId="29D6939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07F1D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7" w:type="dxa"/>
            <w:vAlign w:val="center"/>
          </w:tcPr>
          <w:p w14:paraId="3AEA085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w:t>
            </w:r>
          </w:p>
        </w:tc>
        <w:tc>
          <w:tcPr>
            <w:tcW w:w="6983" w:type="dxa"/>
          </w:tcPr>
          <w:p w14:paraId="6B8CEB22">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投标人须具有公安部门核发的《保安服务许可证》，须提供有效期内的证书复印件</w:t>
            </w:r>
          </w:p>
        </w:tc>
      </w:tr>
      <w:tr w14:paraId="78247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7" w:type="dxa"/>
            <w:vAlign w:val="center"/>
          </w:tcPr>
          <w:p w14:paraId="67196EE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落实政府采购政策的证明材料（专门面向中小微企业采购）</w:t>
            </w:r>
          </w:p>
        </w:tc>
        <w:tc>
          <w:tcPr>
            <w:tcW w:w="6983" w:type="dxa"/>
          </w:tcPr>
          <w:p w14:paraId="721D8E0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项目采购包1专门面向符合财政部、工信部文件（财库〔2020〕46号）规定的中、小、微企业采购。投标人须提供《中小企业声明函》（服务类）。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w:t>
            </w:r>
          </w:p>
        </w:tc>
      </w:tr>
      <w:tr w14:paraId="25E6F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7" w:type="dxa"/>
            <w:vAlign w:val="center"/>
          </w:tcPr>
          <w:p w14:paraId="209EDA1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983" w:type="dxa"/>
          </w:tcPr>
          <w:p w14:paraId="74E757C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14:paraId="5798233C">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6.3是否接受联合体投标：</w:t>
      </w:r>
    </w:p>
    <w:p w14:paraId="2B62486F">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采购包1：不接受</w:t>
      </w:r>
    </w:p>
    <w:p w14:paraId="33A68DF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※根据上述资格要求，电子投标文件中应提交的“投标人的资格及资信证明文件”详见招标文件第四章。</w:t>
      </w:r>
    </w:p>
    <w:p w14:paraId="082386C0">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7、招标文件的获取</w:t>
      </w:r>
    </w:p>
    <w:p w14:paraId="2DF5A45D">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7.1、招标文件获取期限：详见招标公告或更正公告，若不一致，以更正公告为准。</w:t>
      </w:r>
    </w:p>
    <w:p w14:paraId="3C73BD5B">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667C9E09">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7.3、获取地点及方式：注册账号后，通过福建省政府采购网上公开信息系统以下载方式获取。</w:t>
      </w:r>
    </w:p>
    <w:p w14:paraId="1A53DD6A">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7.4、招标文件售价：0元。</w:t>
      </w:r>
    </w:p>
    <w:p w14:paraId="047E7D80">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w:t>
      </w:r>
    </w:p>
    <w:p w14:paraId="59F998C5">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8.1、投标截止时间：详见招标公告或更正公告，若不一致，以更正公告为准。</w:t>
      </w:r>
    </w:p>
    <w:p w14:paraId="537B6A94">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1CE1EC9D">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9、开标时间及地点</w:t>
      </w:r>
    </w:p>
    <w:p w14:paraId="3ADCE693">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14:paraId="08E686B3">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10、公告期限</w:t>
      </w:r>
    </w:p>
    <w:p w14:paraId="101ED2E4">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10.1、招标公告的公告期限：自财政部和福建省财政厅指定的政府采购信息发布媒体最先发布公告之日起5个工作日。</w:t>
      </w:r>
    </w:p>
    <w:p w14:paraId="577B93F4">
      <w:pPr>
        <w:pStyle w:val="6"/>
        <w:ind w:firstLine="9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10.2、招标文件公告期限：招标文件随同招标公告一并发布，其公告期限与招标公告的公告期限保持一致。</w:t>
      </w:r>
    </w:p>
    <w:p w14:paraId="29F46535">
      <w:pPr>
        <w:pStyle w:val="6"/>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11、采购人：福建理工大学</w:t>
      </w:r>
    </w:p>
    <w:p w14:paraId="300A8E88">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地址：福建省福州市闽侯县上街镇学府南路69号</w:t>
      </w:r>
    </w:p>
    <w:p w14:paraId="7F732C87">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邮编：350118</w:t>
      </w:r>
    </w:p>
    <w:p w14:paraId="1AF349EB">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联系人：陈梦莉</w:t>
      </w:r>
    </w:p>
    <w:p w14:paraId="30F172F0">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联系电话：0591-22863121</w:t>
      </w:r>
    </w:p>
    <w:p w14:paraId="5084CCC1">
      <w:pPr>
        <w:pStyle w:val="6"/>
        <w:numPr>
          <w:ilvl w:val="0"/>
          <w:numId w:val="1"/>
        </w:numPr>
        <w:ind w:firstLine="480"/>
        <w:jc w:val="lef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代理机构：福建华晨项目管理有限公司</w:t>
      </w:r>
    </w:p>
    <w:p w14:paraId="56C35BB8">
      <w:pPr>
        <w:pStyle w:val="6"/>
        <w:numPr>
          <w:ilvl w:val="0"/>
          <w:numId w:val="0"/>
        </w:numPr>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地址：王庄街道福新中路89号和声工商大厦（时代国际广场）8层816室</w:t>
      </w:r>
    </w:p>
    <w:p w14:paraId="6702042A">
      <w:pPr>
        <w:pStyle w:val="6"/>
        <w:numPr>
          <w:ilvl w:val="0"/>
          <w:numId w:val="0"/>
        </w:numPr>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邮编：350011</w:t>
      </w:r>
    </w:p>
    <w:p w14:paraId="5934A610">
      <w:pPr>
        <w:pStyle w:val="6"/>
        <w:numPr>
          <w:ilvl w:val="0"/>
          <w:numId w:val="0"/>
        </w:numPr>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联系人：范境婷、黄晓霞、潘王昕</w:t>
      </w:r>
    </w:p>
    <w:p w14:paraId="62DFCBE9">
      <w:pPr>
        <w:pStyle w:val="6"/>
        <w:numPr>
          <w:ilvl w:val="0"/>
          <w:numId w:val="0"/>
        </w:numPr>
        <w:ind w:firstLine="480" w:firstLineChars="200"/>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联系电话：0591-87508629</w:t>
      </w:r>
    </w:p>
    <w:p w14:paraId="2C84A6B4">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4"/>
        <w:tblW w:w="0" w:type="auto"/>
        <w:tblInd w:w="11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50"/>
      </w:tblGrid>
      <w:tr w14:paraId="67CE0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0D666BA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tc>
      </w:tr>
      <w:tr w14:paraId="7B4BE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2B1DB63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 福建华晨项目管理有限公司</w:t>
            </w:r>
          </w:p>
        </w:tc>
      </w:tr>
      <w:tr w14:paraId="7CE81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4AB6987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开户银行：供应商在福建省政府采购网上公开信息系统获取招标文件后，根据其提示自行选择要缴交的投标保证金托管银行。</w:t>
            </w:r>
          </w:p>
        </w:tc>
      </w:tr>
      <w:tr w14:paraId="7D28C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3867AE4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2FD9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21BA582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14:paraId="384FB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0" w:type="dxa"/>
          </w:tcPr>
          <w:p w14:paraId="512D1002">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14:paraId="2B582B4B">
            <w:pPr>
              <w:pStyle w:val="6"/>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2、投标人在转账或电汇的凭证上应按照以下格式注明，以便核对：“（项目编号：***）的投标保证金”。</w:t>
            </w:r>
          </w:p>
        </w:tc>
      </w:tr>
    </w:tbl>
    <w:p w14:paraId="2F826F54">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14:paraId="15B4347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05B69D8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采购包预算金额（元）: 6,314,880.00</w:t>
      </w:r>
    </w:p>
    <w:p w14:paraId="651E6D0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采购包最高限价（元）: 6,314,880.00</w:t>
      </w:r>
    </w:p>
    <w:p w14:paraId="7EC7300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采购包保证金金额（元）: 63,148.80</w:t>
      </w:r>
    </w:p>
    <w:tbl>
      <w:tblPr>
        <w:tblStyle w:val="4"/>
        <w:tblW w:w="0" w:type="auto"/>
        <w:tblInd w:w="1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1187"/>
        <w:gridCol w:w="1187"/>
        <w:gridCol w:w="1656"/>
        <w:gridCol w:w="1187"/>
        <w:gridCol w:w="1985"/>
        <w:gridCol w:w="1467"/>
      </w:tblGrid>
      <w:tr w14:paraId="55B97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vAlign w:val="center"/>
          </w:tcPr>
          <w:p w14:paraId="5A0FEA89">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87" w:type="dxa"/>
            <w:vAlign w:val="center"/>
          </w:tcPr>
          <w:p w14:paraId="3111A891">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1187" w:type="dxa"/>
            <w:vAlign w:val="center"/>
          </w:tcPr>
          <w:p w14:paraId="13055D7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56" w:type="dxa"/>
            <w:vAlign w:val="center"/>
          </w:tcPr>
          <w:p w14:paraId="1281BA5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187" w:type="dxa"/>
            <w:vAlign w:val="center"/>
          </w:tcPr>
          <w:p w14:paraId="2B7BA41A">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985" w:type="dxa"/>
            <w:vAlign w:val="center"/>
          </w:tcPr>
          <w:p w14:paraId="6414988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467" w:type="dxa"/>
            <w:vAlign w:val="center"/>
          </w:tcPr>
          <w:p w14:paraId="58FC283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17A09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vAlign w:val="center"/>
          </w:tcPr>
          <w:p w14:paraId="08897CD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7" w:type="dxa"/>
            <w:vAlign w:val="center"/>
          </w:tcPr>
          <w:p w14:paraId="0A60003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保安服务</w:t>
            </w:r>
          </w:p>
        </w:tc>
        <w:tc>
          <w:tcPr>
            <w:tcW w:w="1187" w:type="dxa"/>
            <w:vAlign w:val="center"/>
          </w:tcPr>
          <w:p w14:paraId="473E381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1656" w:type="dxa"/>
            <w:vAlign w:val="center"/>
          </w:tcPr>
          <w:p w14:paraId="2D37D14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6,314,880.00</w:t>
            </w:r>
          </w:p>
        </w:tc>
        <w:tc>
          <w:tcPr>
            <w:tcW w:w="1187" w:type="dxa"/>
            <w:vAlign w:val="center"/>
          </w:tcPr>
          <w:p w14:paraId="08F4826B">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1985" w:type="dxa"/>
            <w:vAlign w:val="center"/>
          </w:tcPr>
          <w:p w14:paraId="4791175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租赁和商务服务业</w:t>
            </w:r>
          </w:p>
        </w:tc>
        <w:tc>
          <w:tcPr>
            <w:tcW w:w="1467" w:type="dxa"/>
            <w:vAlign w:val="center"/>
          </w:tcPr>
          <w:p w14:paraId="15774229">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652CD5F2">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0C708EE">
      <w:pPr>
        <w:pStyle w:val="6"/>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第二章 投标人须知前附表</w:t>
      </w:r>
    </w:p>
    <w:p w14:paraId="3D77398E">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一、投标人须知前附表1</w:t>
      </w:r>
    </w:p>
    <w:tbl>
      <w:tblPr>
        <w:tblStyle w:val="4"/>
        <w:tblW w:w="0" w:type="auto"/>
        <w:tblInd w:w="14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7"/>
        <w:gridCol w:w="1550"/>
        <w:gridCol w:w="7416"/>
      </w:tblGrid>
      <w:tr w14:paraId="4EF57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33" w:type="dxa"/>
            <w:gridSpan w:val="3"/>
          </w:tcPr>
          <w:p w14:paraId="278CE2B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14:paraId="1E0F6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1A98960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50" w:type="dxa"/>
            <w:vAlign w:val="center"/>
          </w:tcPr>
          <w:p w14:paraId="72E0722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p w14:paraId="511125E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p>
        </w:tc>
        <w:tc>
          <w:tcPr>
            <w:tcW w:w="7416" w:type="dxa"/>
          </w:tcPr>
          <w:p w14:paraId="2716C52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66744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23026F8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50" w:type="dxa"/>
            <w:vAlign w:val="center"/>
          </w:tcPr>
          <w:p w14:paraId="361B3611">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7416" w:type="dxa"/>
          </w:tcPr>
          <w:p w14:paraId="0A75A43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14:paraId="27F868B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采购包1：不组织</w:t>
            </w:r>
          </w:p>
        </w:tc>
      </w:tr>
      <w:tr w14:paraId="08972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4C65088A">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50" w:type="dxa"/>
            <w:vAlign w:val="center"/>
          </w:tcPr>
          <w:p w14:paraId="2335A0A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7416" w:type="dxa"/>
          </w:tcPr>
          <w:p w14:paraId="0798093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14:paraId="3D5118C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（1）可读介质（光盘或U盘） 0 份：投标人应将其上传至福建省政府采购网上公开信息系统的电子投标文件在该可读介质中另存 0 份。</w:t>
            </w:r>
          </w:p>
          <w:p w14:paraId="331A092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（2）电子投标文件：详见投标人须知前附表2《关于电子招标投标活动的专门规定》。</w:t>
            </w:r>
          </w:p>
        </w:tc>
      </w:tr>
      <w:tr w14:paraId="29411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7A64B986">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50" w:type="dxa"/>
            <w:vAlign w:val="center"/>
          </w:tcPr>
          <w:p w14:paraId="200A3241">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7416" w:type="dxa"/>
          </w:tcPr>
          <w:p w14:paraId="033AAF3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是否允许中标人将本项目的非主体、非关键性工作进行分包：</w:t>
            </w:r>
          </w:p>
          <w:p w14:paraId="5017317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采购包1：不允许合同分包；</w:t>
            </w:r>
          </w:p>
        </w:tc>
      </w:tr>
      <w:tr w14:paraId="18BCE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36750C2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50" w:type="dxa"/>
            <w:vAlign w:val="center"/>
          </w:tcPr>
          <w:p w14:paraId="3FD6E99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7416" w:type="dxa"/>
          </w:tcPr>
          <w:p w14:paraId="16BD8C5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 90 个日历日。</w:t>
            </w:r>
          </w:p>
        </w:tc>
      </w:tr>
      <w:tr w14:paraId="6EF18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151FE5B1">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50" w:type="dxa"/>
            <w:vAlign w:val="center"/>
          </w:tcPr>
          <w:p w14:paraId="2757E9B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7416" w:type="dxa"/>
          </w:tcPr>
          <w:p w14:paraId="3008AF4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14:paraId="4369CD0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14:paraId="018B4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78E369B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50" w:type="dxa"/>
            <w:vAlign w:val="center"/>
          </w:tcPr>
          <w:p w14:paraId="1442B89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7416" w:type="dxa"/>
          </w:tcPr>
          <w:p w14:paraId="1F2CF11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本项目中标人的确定（以采购包为单位）：</w:t>
            </w:r>
          </w:p>
          <w:p w14:paraId="6B607E6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采购人应在政府采购招投标管理办法规定的时限内确定中标人。</w:t>
            </w:r>
          </w:p>
          <w:p w14:paraId="3673CFD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（2）若出现中标候选人并列情形，则按照下列方式确定中标人：</w:t>
            </w:r>
          </w:p>
          <w:p w14:paraId="6413DBE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①招标文件规定的方式：</w:t>
            </w:r>
          </w:p>
          <w:p w14:paraId="3D5F723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评标总得分（FA）且评标价（即价格扣除后的投标报价）相同的并列，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w:t>
            </w:r>
          </w:p>
          <w:p w14:paraId="06D04C2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②若本款第①点规定方式为“无”，则按照下列方式确定：</w:t>
            </w:r>
          </w:p>
          <w:p w14:paraId="0D7420C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59201DC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③若本款第①、②点规定方式均为“无”，则按照下列方式确定：随机抽取。</w:t>
            </w:r>
          </w:p>
          <w:p w14:paraId="43CDA6F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（3）本项目确定的中标人家数：</w:t>
            </w:r>
          </w:p>
          <w:p w14:paraId="2618B75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14:paraId="28E3E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01C99209">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50" w:type="dxa"/>
            <w:vAlign w:val="center"/>
          </w:tcPr>
          <w:p w14:paraId="0754588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7416" w:type="dxa"/>
          </w:tcPr>
          <w:p w14:paraId="209D3B1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 自中标通知书发出之日起30个日历日内。</w:t>
            </w:r>
          </w:p>
        </w:tc>
      </w:tr>
      <w:tr w14:paraId="0D416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4840F3F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550" w:type="dxa"/>
            <w:vAlign w:val="center"/>
          </w:tcPr>
          <w:p w14:paraId="70638E7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7416" w:type="dxa"/>
          </w:tcPr>
          <w:p w14:paraId="2DCC57E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14:paraId="4D18D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4E451AAA">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50" w:type="dxa"/>
            <w:vAlign w:val="center"/>
          </w:tcPr>
          <w:p w14:paraId="1522E32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7416" w:type="dxa"/>
          </w:tcPr>
          <w:p w14:paraId="378978C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14:paraId="00F94E3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（1）潜在投标人可在质疑时效期间内对招标文件以书面形式提出质疑。</w:t>
            </w:r>
          </w:p>
          <w:p w14:paraId="3B00108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（2）质疑时效期间：应在依法获取招标文件之日起7个工作日内向 福建华晨项目管理有限公司 提出，依法获取招标文件的时间以福建省政府采购网上公开信息系统记载的为准。</w:t>
            </w:r>
          </w:p>
          <w:p w14:paraId="6A887D8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※除上述规定外，对招标文件提出的质疑还应符合招标文件第三章第15.1条的有关规定。</w:t>
            </w:r>
          </w:p>
        </w:tc>
      </w:tr>
      <w:tr w14:paraId="65D9B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53493F5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50" w:type="dxa"/>
            <w:vAlign w:val="center"/>
          </w:tcPr>
          <w:p w14:paraId="6E03006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7416" w:type="dxa"/>
          </w:tcPr>
          <w:p w14:paraId="04F8583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 福建省财政厅政府采购监督管理办公室 （仅限依法进行政府采购的货物或服务类项目）。</w:t>
            </w:r>
          </w:p>
        </w:tc>
      </w:tr>
      <w:tr w14:paraId="2A294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358AEF8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550" w:type="dxa"/>
            <w:vAlign w:val="center"/>
          </w:tcPr>
          <w:p w14:paraId="05BBB53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7416" w:type="dxa"/>
          </w:tcPr>
          <w:p w14:paraId="35806A9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14:paraId="2AD4F02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（1）中国政府采购网，网址www.ccgp.gov.cn。</w:t>
            </w:r>
          </w:p>
          <w:p w14:paraId="2383E11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（2）中国政府采购网福建分网（福建省政府采购网），网址zfcg.czt.fujian.gov.cn。</w:t>
            </w:r>
          </w:p>
          <w:p w14:paraId="619A664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※若出现上述指定媒体信息不一致情形，应以中国政府采购网福建分网（福建省政府采购网）发布的为准。</w:t>
            </w:r>
          </w:p>
        </w:tc>
      </w:tr>
      <w:tr w14:paraId="55853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vAlign w:val="center"/>
          </w:tcPr>
          <w:p w14:paraId="1BF05AB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550" w:type="dxa"/>
            <w:vAlign w:val="center"/>
          </w:tcPr>
          <w:p w14:paraId="0644607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7416" w:type="dxa"/>
          </w:tcPr>
          <w:p w14:paraId="5D3C083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14:paraId="58DF8FA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14:paraId="0BBB790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14:paraId="4C839E2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代理服务费用收取对象：中标/成交供应商</w:t>
            </w:r>
          </w:p>
          <w:p w14:paraId="67FA3A2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代理服务费收费标准：本项目的代理服务费向中标人收取，中标人按差额定率累进法计算，向采购代理机构一次性缴纳代理服务费。(1)以中标通知书规定的中标金额作为收费的计算基数。(2) 代理服务费收费的标准：100(万元)以下收费费率标准：1.5%，100(万元)-500(万元)收费费率标准：0.8%；500(万元)-1000(万元)收费费率标准：0.45%代理服务费在中标人领取中标通知书前一次性缴清。代理服务费缴交银行账号： 开户名：福建华晨项目管理有限公司；开户行：兴业银行福州华林支行；账号：117130100100266812。</w:t>
            </w:r>
          </w:p>
          <w:p w14:paraId="45F95E5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14:paraId="575577B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 对可以质疑的采购文件提出质疑的，为收到采购文件之日；对采购过程提出质疑的，为各采购程序环节结束之日；对成交结果提出质疑的，为成交结果公告期限届满之日。②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供应商投诉的事项不得超出已质疑事项的范围，但基于质疑答复内容提出的投诉事项除外。”。③供应商在法定质疑期内须一次性提出针对同一采购程序环节的质疑。④接收质疑函的方式：以书面原件形式送达或邮件至福州市晋安区福新中路89号（时代国际广场）8层816室福建华晨项目管理有限公司，联系电话：0591-87508629。</w:t>
            </w:r>
          </w:p>
        </w:tc>
      </w:tr>
      <w:tr w14:paraId="1ED76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7" w:type="dxa"/>
            <w:gridSpan w:val="2"/>
          </w:tcPr>
          <w:p w14:paraId="6B272CB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416" w:type="dxa"/>
          </w:tcPr>
          <w:p w14:paraId="61767F2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14:paraId="39224FB0">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二、投标人须知前附表2</w:t>
      </w:r>
    </w:p>
    <w:tbl>
      <w:tblPr>
        <w:tblStyle w:val="4"/>
        <w:tblW w:w="0" w:type="auto"/>
        <w:tblInd w:w="15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0"/>
        <w:gridCol w:w="8983"/>
      </w:tblGrid>
      <w:tr w14:paraId="349B7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33" w:type="dxa"/>
            <w:gridSpan w:val="2"/>
          </w:tcPr>
          <w:p w14:paraId="0AE3D60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14:paraId="1AFA6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6645102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983" w:type="dxa"/>
          </w:tcPr>
          <w:p w14:paraId="4ED4661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7206D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45238EA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83" w:type="dxa"/>
          </w:tcPr>
          <w:p w14:paraId="38B095D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14:paraId="1AEB2C6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（2）将招标文件</w:t>
            </w:r>
          </w:p>
          <w:p w14:paraId="6243306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的内容修正为下列内容：</w:t>
            </w:r>
          </w:p>
          <w:p w14:paraId="61A13FE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后适用本项目的电子招标投标活动。</w:t>
            </w:r>
          </w:p>
          <w:p w14:paraId="3D0E7C7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2400BAD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①电子招标投标活动的具体操作流程以福建省政府采购网上公开信息系统设定的为准。</w:t>
            </w:r>
          </w:p>
          <w:p w14:paraId="1C20FE5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14:paraId="162D397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10AB7FA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734B595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14:paraId="221BE68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41E331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1579764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14:paraId="3E28867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14:paraId="1E384CD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14:paraId="07021D5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14:paraId="6948F6D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14:paraId="6DA6ADF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14:paraId="5C5A02D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14:paraId="3D072FE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14:paraId="0C27307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14:paraId="61652A8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14:paraId="0651E74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14:paraId="382C669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14:paraId="71F4C2B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14:paraId="4EE869A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14:paraId="0F9C001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b3投标人的投标保证金同一采购包下有其他投标人提交的投标保证金；</w:t>
            </w:r>
          </w:p>
          <w:p w14:paraId="175AC36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14:paraId="3A7A713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5E996B7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14:paraId="1EF652C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a.本项目支持远程开标，投标人可通过远程线上参与开标，具体系统操作指南详见福建省政府采购网首页上相关操作手册。 b.本项目开标过程中解密的操作时限为30分钟，远程签章的操作时限为10分钟，请投标人务必密切关注实时开标流程，完成远程解密、远程签章。 c.在开标过程中，因系统故障等导致无法继续进行开标的，投标人须配合等待故障处理，待故障解除后继续开标。 d.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w:t>
            </w:r>
          </w:p>
        </w:tc>
      </w:tr>
    </w:tbl>
    <w:p w14:paraId="5A03B919">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892E34C">
      <w:pPr>
        <w:pStyle w:val="6"/>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第三章 投标人须知</w:t>
      </w:r>
    </w:p>
    <w:p w14:paraId="5525B86C">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14:paraId="2289C19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395A9B1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14:paraId="4BD1AC1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3EFD168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14:paraId="05B29AE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14:paraId="51B795E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14:paraId="79233A9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14:paraId="51E9556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14:paraId="72711224">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14:paraId="3A48913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14:paraId="063EE5C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14:paraId="3ED9359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10EDC9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14:paraId="6DC4124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14:paraId="4D1E2E8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14:paraId="3301A98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14:paraId="1A1D241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（3）联合体各方应共同与采购人签订政府采购合同，就政府采购合同约定的事项对采购人承担连带责任。</w:t>
      </w:r>
    </w:p>
    <w:p w14:paraId="3986607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7E9232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14:paraId="2A698E3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14:paraId="3076287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14:paraId="7DBC8CF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14:paraId="5677805D">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14:paraId="689129C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14:paraId="19645FC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14:paraId="77F9E53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0E4BEF5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14:paraId="15B3488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09F8BE2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14:paraId="72B6ADB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14:paraId="60704F5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14:paraId="069360B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（7）电子投标文件格式</w:t>
      </w:r>
    </w:p>
    <w:p w14:paraId="5E6B370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14:paraId="1B551CB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14:paraId="4EC2976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福建华晨项目管理有限公司 可对已发出的招标文件进行必要的澄清或修改，但不得对招标文件载明的采购标的和投标人的资格要求进行改变。</w:t>
      </w:r>
    </w:p>
    <w:p w14:paraId="1C7D2B1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（2）除本章第5.2条第（3）款规定情形外，澄清或修改的内容可能影响电子投标文件编制的， 福建华晨项目管理有限公司 将在投标截止时间至少15个日历日前，在招标文件载明的指定媒体以更正公告的形式发布澄清或修改的内容。不足15个日历日的， 福建华晨项目管理有限公司 将顺延投标截止时间及开标时间， 福建华晨项目管理有限公司 和投标人受原投标截止时间及开标时间制约的所有权利和义务均延长至新的投标截止时间及开标时间。</w:t>
      </w:r>
    </w:p>
    <w:p w14:paraId="0494CFA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（3）澄清或修改的内容可能改变招标文件载明的采购标的和投标人的资格要求的，本次采购活动结束， 福建华晨项目管理有限公司 将依法组织后续采购活动（包括但不限于：重新招标、采用其他方式采购等）。</w:t>
      </w:r>
    </w:p>
    <w:p w14:paraId="4C86D89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14:paraId="782BDDF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14:paraId="7D9BC90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14:paraId="2C9550B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7.1若 福建华晨项目管理有限公司 发布更正公告，则更正公告及其所发布的内容或信息（包括但不限于：招标文件的澄清或修改、现场考察或答疑会的有关事宜等）作为招标文件组成部分，对投标人具有约束力。</w:t>
      </w:r>
    </w:p>
    <w:p w14:paraId="4DB417F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7.2更正公告作为 福建华晨项目管理有限公司 通知所有潜在投标人的书面形式。</w:t>
      </w:r>
    </w:p>
    <w:p w14:paraId="214763A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14:paraId="4272037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8.1若出现因重大变故导致采购任务取消情形， 福建华晨项目管理有限公司 可终止招标并发布终止公告。</w:t>
      </w:r>
    </w:p>
    <w:p w14:paraId="414D70F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8.2终止公告作为 福建华晨项目管理有限公司 通知所有潜在投标人的书面形式。</w:t>
      </w:r>
    </w:p>
    <w:p w14:paraId="4A18E25F">
      <w:pPr>
        <w:pStyle w:val="6"/>
        <w:ind w:firstLine="48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14:paraId="421FF73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14:paraId="148FDA4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9.1投标人可对招标文件载明的全部或部分采购包进行投标。</w:t>
      </w:r>
    </w:p>
    <w:p w14:paraId="18C2F39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9.2投标人应对同一个采购包内的所有内容进行完整投标，否则投标无效。</w:t>
      </w:r>
    </w:p>
    <w:p w14:paraId="429BBC4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14:paraId="5B50069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14:paraId="6C879BE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7B141FF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799EC6A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14:paraId="7BBA2C1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（1）不同投标人的电子投标文件由同一单位或个人编制；</w:t>
      </w:r>
    </w:p>
    <w:p w14:paraId="6323175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14:paraId="20A8A50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（3）不同投标人的电子投标文件载明的项目管理成员或联系人员为同一人；</w:t>
      </w:r>
    </w:p>
    <w:p w14:paraId="142A07C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（4）不同投标人的电子投标文件异常一致或投标报价呈规律性差异；</w:t>
      </w:r>
    </w:p>
    <w:p w14:paraId="1510C42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（5）不同投标人的电子投标文件相互混装；</w:t>
      </w:r>
    </w:p>
    <w:p w14:paraId="0AD12D5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14:paraId="6CD5529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14:paraId="46B5AE9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10、电子投标文件</w:t>
      </w:r>
    </w:p>
    <w:p w14:paraId="036E937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10.1电子投标文件的编制</w:t>
      </w:r>
    </w:p>
    <w:p w14:paraId="7C69E08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（1）投标人应先仔细阅读招标文件的全部内容后，再进行电子投标文件的编制。</w:t>
      </w:r>
    </w:p>
    <w:p w14:paraId="4E19F15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（2）电子投标文件应按照本章第10.2条规定编制其组成部分。</w:t>
      </w:r>
    </w:p>
    <w:p w14:paraId="1B3FA98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33C925F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10.2电子投标文件由下述部分组成：</w:t>
      </w:r>
    </w:p>
    <w:p w14:paraId="50500CE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14:paraId="7D2E85F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14:paraId="65EA931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14:paraId="6E9CD1C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14:paraId="35C7A70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14:paraId="1D292A5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14:paraId="6A202C1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14:paraId="509BB6F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2590435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14:paraId="3A84E30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14:paraId="09ED8BD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14:paraId="222C474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14:paraId="1CE2BD8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14:paraId="1D9AC15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14:paraId="5CF163C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⑤招标文件规定作为电子投标文件组成部分的其他内容（若有）</w:t>
      </w:r>
    </w:p>
    <w:p w14:paraId="2C072C0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10.3电子投标文件的语言</w:t>
      </w:r>
    </w:p>
    <w:p w14:paraId="1CD3D42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（1）除招标文件另有规定外，电子投标文件应使用中文文本，若有不同文本，以中文文本为准。</w:t>
      </w:r>
    </w:p>
    <w:p w14:paraId="71AB7DB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38ECA4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10.4投标文件的份数：详见招标文件第二章。</w:t>
      </w:r>
    </w:p>
    <w:p w14:paraId="0019103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10.5电子投标文件的格式</w:t>
      </w:r>
    </w:p>
    <w:p w14:paraId="277DE71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（1）除招标文件另有规定外，电子投标文件应使用招标文件第七章规定的格式。</w:t>
      </w:r>
    </w:p>
    <w:p w14:paraId="0005ECC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（2）除招标文件另有规定外，电子投标文件应使用不能擦去的墨料或墨水打印、书写或复印。</w:t>
      </w:r>
    </w:p>
    <w:p w14:paraId="099B7B7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（3）除招标文件另有规定外，电子投标文件应使用人民币作为计量货币。</w:t>
      </w:r>
    </w:p>
    <w:p w14:paraId="3901659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（4）除招标文件另有规定外，签署、盖章应遵守下列规定：</w:t>
      </w:r>
    </w:p>
    <w:p w14:paraId="7D7DD16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①电子投标文件应加盖投标人的单位公章。若投标人代表为单位授权的委托代理人，应提供“单位授权书”。</w:t>
      </w:r>
    </w:p>
    <w:p w14:paraId="5CE37DA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②电子投标文件应没有涂改或行间插字，除非这些改动是根据 福建华晨项目管理有限公司 的指示进行的，或是为改正投标人造成的应修改的错误而进行的。若有前述改动，应按照下列规定之一对改动处进行处理：</w:t>
      </w:r>
    </w:p>
    <w:p w14:paraId="326C5BB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a.投标人代表签字确认；</w:t>
      </w:r>
    </w:p>
    <w:p w14:paraId="31F7C13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b.加盖投标人的单位公章或校正章。</w:t>
      </w:r>
    </w:p>
    <w:p w14:paraId="23F69F7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10.6投标报价</w:t>
      </w:r>
    </w:p>
    <w:p w14:paraId="188E275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（1）投标报价超出最高限价将导致投标无效。</w:t>
      </w:r>
    </w:p>
    <w:p w14:paraId="447FA8E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（2）最高限价由采购人根据价格测算情况，在预算金额的额度内合理设定。最高限价不得超出预算金额。</w:t>
      </w:r>
    </w:p>
    <w:p w14:paraId="35BDE62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78FDC84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10.7分包</w:t>
      </w:r>
    </w:p>
    <w:p w14:paraId="1C7C8D3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（1）是否允许中标人将本项目的非主体、非关键性工作进行分包：详见招标文件第二章。</w:t>
      </w:r>
    </w:p>
    <w:p w14:paraId="34D49EE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5B26DA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（3）招标文件允许中标人将非主体、非关键性工作进行分包的项目，有下列情形之一的，中标人不得分包：</w:t>
      </w:r>
    </w:p>
    <w:p w14:paraId="3AAF66A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①电子投标文件中未载明分包承担主体；</w:t>
      </w:r>
    </w:p>
    <w:p w14:paraId="4466156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②电子投标文件载明的分包承担主体不具备相应资质条件；</w:t>
      </w:r>
    </w:p>
    <w:p w14:paraId="014531A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③电子投标文件载明的分包承担主体拟再次分包；</w:t>
      </w:r>
    </w:p>
    <w:p w14:paraId="6D998F5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④享受中小企业扶持政策获得政府采购合同的，小微企业不得将合同分包给大中型企业，中型企业不得将合同分包给大型企业。</w:t>
      </w:r>
    </w:p>
    <w:p w14:paraId="351493D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10.8投标有效期</w:t>
      </w:r>
    </w:p>
    <w:p w14:paraId="581E24F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（1）招标文件载明的投标有效期：详见招标文件第二章。</w:t>
      </w:r>
    </w:p>
    <w:p w14:paraId="11C13C8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（2）电子投标文件承诺的投标有效期不得少于招标文件载明的投标有效期，否则投标无效。</w:t>
      </w:r>
    </w:p>
    <w:p w14:paraId="007DD64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（3）根据本次采购活动的需要， 福建华晨项目管理有限公司 可于投标有效期届满之前书面要求投标人延长投标有效期，投标人应在 福建华晨项目管理有限公司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8A0329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10.9投标保证金</w:t>
      </w:r>
    </w:p>
    <w:p w14:paraId="2D1EECF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（1）投标保证金作为投标人按照招标文件规定履行相应投标责任、义务的约束及担保。</w:t>
      </w:r>
    </w:p>
    <w:p w14:paraId="57A1102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（2）投标人以电子保函形式提交投标保证金的，保函的有效期应等于或长于电子投标文件承诺的投标有效期，否则投标无效。</w:t>
      </w:r>
    </w:p>
    <w:p w14:paraId="2AB5B71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w:t>
      </w:r>
    </w:p>
    <w:p w14:paraId="1632A62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6DB78B4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48E888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③其他形式：</w:t>
      </w:r>
    </w:p>
    <w:p w14:paraId="5FABA4B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09D08B0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④若本项目接受联合体投标且投标人为联合体，则联合体中的牵头方应按照本章第10.9条第（3）款第①、②、③点规定提交投标保证金。</w:t>
      </w:r>
    </w:p>
    <w:p w14:paraId="647AE2C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※除招标文件另有规定外，未按照上述规定提交投标保证金将导致资格审查不合格。</w:t>
      </w:r>
    </w:p>
    <w:p w14:paraId="184F106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（4）退还</w:t>
      </w:r>
    </w:p>
    <w:p w14:paraId="1AD6E12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①在投标截止时间前撤回已提交的电子投标文件的投标人，其投标保证金将在 福建华晨项目管理有限公司 收到投标人书面撤回通知之日起5个工作日内退回原账户。</w:t>
      </w:r>
    </w:p>
    <w:p w14:paraId="094097C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②未中标人的投标保证金将在中标通知书发出之日起5个工作日内退回原账户。</w:t>
      </w:r>
    </w:p>
    <w:p w14:paraId="47A4912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③中标人的投标保证金将在政府采购合同签订之日起5个工作日内退回原账户；合同签订之日以福建省政府采购网上公开信息系统记载的为准。</w:t>
      </w:r>
    </w:p>
    <w:p w14:paraId="3228AB5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④终止招标的， 福建华晨项目管理有限公司 将在终止公告发布之日起5个工作日内退回已收取的投标保证金及其在银行产生的孳息。</w:t>
      </w:r>
    </w:p>
    <w:p w14:paraId="23DB118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⑤除招标文件另有规定外，质疑或投诉涉及的投标人，若投标保证金尚未退还，则待质疑或投诉处理完毕后不计利息原额退还。</w:t>
      </w:r>
    </w:p>
    <w:p w14:paraId="69D7E14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※本章第10.9条第（4）款第①、②、③点规定的投标保证金退还时限不包括因投标人自身原因导致无法及时退还而增加的时间。</w:t>
      </w:r>
    </w:p>
    <w:p w14:paraId="7612BDC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AF9ABB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（6）有下列情形之一的，投标保证金将不予退还或通过投标保函进行索赔：</w:t>
      </w:r>
    </w:p>
    <w:p w14:paraId="5BDBFC3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①投标人串通投标；</w:t>
      </w:r>
    </w:p>
    <w:p w14:paraId="5F5DB20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②投标人提供虚假材料；</w:t>
      </w:r>
    </w:p>
    <w:p w14:paraId="0C994B7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③投标人采取不正当手段诋毁、排挤其他投标人；</w:t>
      </w:r>
    </w:p>
    <w:p w14:paraId="33238DC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④投标截止时间后，投标人在投标有效期内撤销电子投标文件；</w:t>
      </w:r>
    </w:p>
    <w:p w14:paraId="2ED1166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⑤招标文件规定的其他不予退还情形；</w:t>
      </w:r>
    </w:p>
    <w:p w14:paraId="2EACF1B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⑥中标人有下列情形之一的：</w:t>
      </w:r>
    </w:p>
    <w:p w14:paraId="4514D50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a.除不可抗力外，因中标人自身原因未在中标通知书要求的期限内与采购人签订政府采购合同；</w:t>
      </w:r>
    </w:p>
    <w:p w14:paraId="4D79CBA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b.未按照招标文件、投标文件的约定签订政府采购合同或提交履约保证金。</w:t>
      </w:r>
    </w:p>
    <w:p w14:paraId="6FF32B1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※若上述投标保证金不予退还情形给采购人（采购代理机构）造成损失，则投标人还要承担相应的赔偿责任。</w:t>
      </w:r>
    </w:p>
    <w:p w14:paraId="6076649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10.10电子投标文件的提交</w:t>
      </w:r>
    </w:p>
    <w:p w14:paraId="2DC73C0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（1）一个投标人只能提交一个电子投标文件，并按照招标文件第一章规定在系统上完成上传、解密操作。</w:t>
      </w:r>
    </w:p>
    <w:p w14:paraId="096E4EE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10.11电子投标文件的补充、修改或撤回</w:t>
      </w:r>
    </w:p>
    <w:p w14:paraId="006DC93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（1）投标截止时间前，投标人可对所提交的电子投标文件进行补充、修改或撤回，并书面通知 福建华晨项目管理有限公司 。</w:t>
      </w:r>
    </w:p>
    <w:p w14:paraId="502D58D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（2）补充、修改的内容应按照本章第10.5条第（4）款规定进行签署、盖章，并按照本章第10.10条规定提交，否则将被拒收。</w:t>
      </w:r>
    </w:p>
    <w:p w14:paraId="0E42547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※按照上述规定提交的补充、修改内容作为电子投标文件组成部分。</w:t>
      </w:r>
    </w:p>
    <w:p w14:paraId="2B95CC7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10.12除招标文件另有规定外，有下列情形之一的，投标无效：</w:t>
      </w:r>
    </w:p>
    <w:p w14:paraId="08097E1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（1）电子投标文件未按照招标文件要求签署、盖章；</w:t>
      </w:r>
    </w:p>
    <w:p w14:paraId="52086F3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（2）不符合招标文件中规定的资格要求；</w:t>
      </w:r>
    </w:p>
    <w:p w14:paraId="3E649B1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（3）投标报价超过招标文件中规定的预算金额或最高限价；</w:t>
      </w:r>
    </w:p>
    <w:p w14:paraId="20011C5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（4）电子投标文件含有采购人不能接受的附加条件；</w:t>
      </w:r>
    </w:p>
    <w:p w14:paraId="745CCAF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（5）有关法律、法规和规章及招标文件规定的其他无效情形。</w:t>
      </w:r>
    </w:p>
    <w:p w14:paraId="31A33175">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14:paraId="31D3855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14:paraId="5A2963A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福建华晨项目管理有限公司 将在招标文件载明的开标时间及地点主持召开开标会，并邀请投标人参加。</w:t>
      </w:r>
    </w:p>
    <w:p w14:paraId="6CC530F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11.2开标会的主持人、唱标人、记录人及其他工作人员（若有）均由 福建华晨项目管理有限公司 派出，现场监督人员（若有）可由有关方面派出。</w:t>
      </w:r>
    </w:p>
    <w:p w14:paraId="64DB9B6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11B056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14:paraId="2F44D2C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FBD218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285C4D1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5350462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F6ABE7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（5）若投标人未到开标现场参加开标会，也未通过远程参加开标会的，视同认可开标结果。</w:t>
      </w:r>
    </w:p>
    <w:p w14:paraId="5A21EEB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福建华晨项目管理有限公司 提出任何疑义或要求（包括质疑）。</w:t>
      </w:r>
    </w:p>
    <w:p w14:paraId="73C78E0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11.5投标截止时间后，参加投标的投标人不足三家的，不进行开标。同时，本次采购活动结束， 福建华晨项目管理有限公司 将依法组织后续采购活动（包括但不限于：重新招标、采用其他方式采购等）。</w:t>
      </w:r>
    </w:p>
    <w:p w14:paraId="5585E91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14:paraId="4376E42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14:paraId="34B21C40">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14:paraId="2AD129E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14:paraId="4AFD5F6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14:paraId="3159F0B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12.2本项目中标人的确定：详见招标文件第二章。</w:t>
      </w:r>
    </w:p>
    <w:p w14:paraId="15B535A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14:paraId="1C0F27D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（1）中标人确定之日起2个工作日内， 福建华晨项目管理有限公司 将在招标文件载明的指定媒体以中标公告的形式发布中标结果。</w:t>
      </w:r>
    </w:p>
    <w:p w14:paraId="2D9E9DE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14:paraId="7B2209E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14:paraId="6E4EFFC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（1）中标公告发布的同时， 福建华晨项目管理有限公司 将向中标人发出中标通知书。</w:t>
      </w:r>
    </w:p>
    <w:p w14:paraId="03251CC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（2）中标通知书发出后，采购人不得违法改变中标结果，中标人无正当理由不得放弃中标。</w:t>
      </w:r>
    </w:p>
    <w:p w14:paraId="7FAB216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14:paraId="7806FE5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968F25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13.2签订时限：详见须知前附表1的13.2。</w:t>
      </w:r>
    </w:p>
    <w:p w14:paraId="3FF61A3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14:paraId="4FF535F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13.4采购人与中标人应根据政府采购合同的约定依法履行合同义务。</w:t>
      </w:r>
    </w:p>
    <w:p w14:paraId="7D48F42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13.5政府采购合同履行过程中，采购人若需追加与合同标的相同的货物或服务，则追加采购金额不得超过原合同采购金额的10%。</w:t>
      </w:r>
    </w:p>
    <w:p w14:paraId="529521F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13.6中标人在政府采购合同履行过程中应遵守有关法律、法规和规章的强制性规定（即使前述强制性规定有可能在招标文件中未予列明）。</w:t>
      </w:r>
    </w:p>
    <w:p w14:paraId="169F7737">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14:paraId="078107C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14:paraId="7C3AFE7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14.1潜在投标人或投标人对本次采购活动的有关事项若有疑问，可向 福建华晨项目管理有限公司 提出询问， 福建华晨项目管理有限公司 将按照政府采购法及实施条例的有关规定进行答复。</w:t>
      </w:r>
    </w:p>
    <w:p w14:paraId="2458393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14:paraId="73D47F8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02D3EB1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3A4889A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14:paraId="2B10586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14:paraId="5EF31BF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14:paraId="71A8EAF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14:paraId="0F2D8FD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14:paraId="1729210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④针对质疑事项提出的明确请求，前述明确请求指质疑人提出质疑的目的以及希望 福建华晨项目管理有限公司 对其质疑作出的处理结果，如：暂停招标投标活动、修改招标文件、停止或纠正违法违规行为、中标结果无效、废标、重新招标等；</w:t>
      </w:r>
    </w:p>
    <w:p w14:paraId="30B3171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14:paraId="068F2B1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14:paraId="14C9100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2BC92F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14:paraId="5AB880F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14:paraId="0BC57C9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14:paraId="7AD8302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b2质疑函所述事实存在的证明材料，如：采购文件、采购过程或中标结果违法违规或不符合采购文件要求等证明材料；</w:t>
      </w:r>
    </w:p>
    <w:p w14:paraId="108434E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14:paraId="7A6EA1F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14:paraId="3AFA984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b5采购文件、采购过程或中标、成交结果损害自己合法权益的证明材料等；</w:t>
      </w:r>
    </w:p>
    <w:p w14:paraId="5A678DB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11A2C8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14:paraId="1296331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14:paraId="3EF2F75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14:paraId="03D1A90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14:paraId="09ED664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14:paraId="3A9BB92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14:paraId="1AC03C3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14:paraId="59B7487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14:paraId="586C19E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14:paraId="478B087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8A2597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14:paraId="43EE7BD4">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14:paraId="5DBA261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14:paraId="59279F3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14:paraId="36284A2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0DD93A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38A4725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6EEBBC3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14:paraId="1A7B75F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CB9F89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E21D49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14:paraId="0AF861F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FFED03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14:paraId="582591B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14:paraId="5A5022D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1A1F686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18AF321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10E8089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1A0D706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E4D6DE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14:paraId="2B9B604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062A53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560BCE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5E5E53C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14:paraId="33C5F6E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14:paraId="7AA3E4F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7D1DC2F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3E8B726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6E67288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0840792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60300FA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DD5A8F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B4150E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14:paraId="0A6FBE5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14:paraId="211310C4">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14:paraId="377C513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79545B6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14:paraId="11DAB6A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14:paraId="2E00C076">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14:paraId="539F5F6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14:paraId="2B74992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187841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14:paraId="4419BD48">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EAF87AA">
      <w:pPr>
        <w:pStyle w:val="6"/>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第四章 资格审查与评标</w:t>
      </w:r>
    </w:p>
    <w:p w14:paraId="44F71236">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一、资格审查</w:t>
      </w:r>
    </w:p>
    <w:p w14:paraId="01B408F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1、开标结束后，由 福建华晨项目管理有限公司 负责资格审查小组的组建及资格审查工作的组织。</w:t>
      </w:r>
    </w:p>
    <w:p w14:paraId="304EF1B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1.1资格审查小组</w:t>
      </w:r>
    </w:p>
    <w:p w14:paraId="4F6461C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小组由3人组成，并负责具体审查事务，其中由采购人派出的采购人代表至少1人，由福建华晨项目管理有限公司派出的工作人员至少1人，其余1人可为采购人代表或福建华晨项目管理有限公司的工作人员。</w:t>
      </w:r>
    </w:p>
    <w:p w14:paraId="7CA0B98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1.2资格审查的依据是招标文件和电子投标文件。</w:t>
      </w:r>
    </w:p>
    <w:p w14:paraId="52F9613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1.3资格审查的范围及内容：电子投标文件（资格及资信证明部分），具体如下：</w:t>
      </w:r>
    </w:p>
    <w:p w14:paraId="18251B8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5BCAB17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（2）“投标人的资格及资信证明文件”</w:t>
      </w:r>
    </w:p>
    <w:p w14:paraId="2198318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14:paraId="0D16770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4"/>
        <w:tblW w:w="0" w:type="auto"/>
        <w:tblInd w:w="12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0"/>
        <w:gridCol w:w="1567"/>
        <w:gridCol w:w="7300"/>
      </w:tblGrid>
      <w:tr w14:paraId="143E4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260845D9">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67" w:type="dxa"/>
            <w:vAlign w:val="center"/>
          </w:tcPr>
          <w:p w14:paraId="6E3004B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7300" w:type="dxa"/>
            <w:vAlign w:val="center"/>
          </w:tcPr>
          <w:p w14:paraId="7891AE3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634BD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38B4829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67" w:type="dxa"/>
            <w:vAlign w:val="center"/>
          </w:tcPr>
          <w:p w14:paraId="422583A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7300" w:type="dxa"/>
          </w:tcPr>
          <w:p w14:paraId="6E46FA6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9F2F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7262F44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67" w:type="dxa"/>
            <w:vAlign w:val="center"/>
          </w:tcPr>
          <w:p w14:paraId="40A2BEF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7300" w:type="dxa"/>
          </w:tcPr>
          <w:p w14:paraId="2801DF06">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4183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7CB1D50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67" w:type="dxa"/>
            <w:vAlign w:val="center"/>
          </w:tcPr>
          <w:p w14:paraId="40082F91">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7300" w:type="dxa"/>
          </w:tcPr>
          <w:p w14:paraId="3422B904">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C7F6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439FF0B9">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67" w:type="dxa"/>
            <w:vAlign w:val="center"/>
          </w:tcPr>
          <w:p w14:paraId="5EC9F52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7300" w:type="dxa"/>
          </w:tcPr>
          <w:p w14:paraId="677DBC0D">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2DD8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3C48CC0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67" w:type="dxa"/>
            <w:vAlign w:val="center"/>
          </w:tcPr>
          <w:p w14:paraId="531BE58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7300" w:type="dxa"/>
          </w:tcPr>
          <w:p w14:paraId="71C78101">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17BE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404F658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67" w:type="dxa"/>
            <w:vAlign w:val="center"/>
          </w:tcPr>
          <w:p w14:paraId="64C1EF29">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7300" w:type="dxa"/>
          </w:tcPr>
          <w:p w14:paraId="5AEAE07D">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5610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6E1B1CC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67" w:type="dxa"/>
            <w:vAlign w:val="center"/>
          </w:tcPr>
          <w:p w14:paraId="4571ECA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7300" w:type="dxa"/>
          </w:tcPr>
          <w:p w14:paraId="71C623F0">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D027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55FE2FFA">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567" w:type="dxa"/>
            <w:vAlign w:val="center"/>
          </w:tcPr>
          <w:p w14:paraId="521349F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7300" w:type="dxa"/>
          </w:tcPr>
          <w:p w14:paraId="4FC4BE45">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8C03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6606E30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67" w:type="dxa"/>
            <w:vAlign w:val="center"/>
          </w:tcPr>
          <w:p w14:paraId="10DA2709">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7300" w:type="dxa"/>
          </w:tcPr>
          <w:p w14:paraId="018C600C">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3302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vAlign w:val="center"/>
          </w:tcPr>
          <w:p w14:paraId="5646EC1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67" w:type="dxa"/>
            <w:vAlign w:val="center"/>
          </w:tcPr>
          <w:p w14:paraId="342274B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7300" w:type="dxa"/>
          </w:tcPr>
          <w:p w14:paraId="610AF2CB">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30BA62D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14:paraId="51FC65A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14:paraId="2F8B616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14:paraId="482ACC8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②.其他资格证明文件：</w:t>
      </w:r>
    </w:p>
    <w:p w14:paraId="65AF17A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4"/>
        <w:tblW w:w="0" w:type="auto"/>
        <w:tblInd w:w="11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16"/>
        <w:gridCol w:w="8034"/>
      </w:tblGrid>
      <w:tr w14:paraId="4FB5C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16" w:type="dxa"/>
            <w:vAlign w:val="center"/>
          </w:tcPr>
          <w:p w14:paraId="712378E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8034" w:type="dxa"/>
          </w:tcPr>
          <w:p w14:paraId="35FC1B6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24EBF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747203A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w:t>
            </w:r>
          </w:p>
        </w:tc>
        <w:tc>
          <w:tcPr>
            <w:tcW w:w="8034" w:type="dxa"/>
          </w:tcPr>
          <w:p w14:paraId="793BE86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投标人须具有公安部门核发的《保安服务许可证》，须提供有效期内的证书复印件</w:t>
            </w:r>
          </w:p>
        </w:tc>
      </w:tr>
      <w:tr w14:paraId="07E19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462DA4C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落实政府采购政策的证明材料（专门面向中小微企业采购）</w:t>
            </w:r>
          </w:p>
        </w:tc>
        <w:tc>
          <w:tcPr>
            <w:tcW w:w="8034" w:type="dxa"/>
          </w:tcPr>
          <w:p w14:paraId="3E9351C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项目采购包1专门面向符合财政部、工信部文件（财库〔2020〕46号）规定的中、小、微企业采购。投标人须提供《中小企业声明函》（服务类）。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投标人应按照招标文件第七章规定提供。注：享受扶持政策获得政府采购合同的，小微企业不得将合同分包给大中型企业。</w:t>
            </w:r>
          </w:p>
        </w:tc>
      </w:tr>
      <w:tr w14:paraId="33DDD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49EA06F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8034" w:type="dxa"/>
          </w:tcPr>
          <w:p w14:paraId="4158697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本采购包为专门面向中小企业采购，投标人须提供中小企业声明函。监狱企业、残疾人福利性单位视同小型、微型企业。</w:t>
            </w:r>
          </w:p>
        </w:tc>
      </w:tr>
    </w:tbl>
    <w:p w14:paraId="673F0AB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w:t>
      </w:r>
    </w:p>
    <w:p w14:paraId="7BB1E93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2"/>
      </w:tblGrid>
      <w:tr w14:paraId="27792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862" w:type="dxa"/>
          </w:tcPr>
          <w:p w14:paraId="63A2AC4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6EEE5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2" w:type="dxa"/>
          </w:tcPr>
          <w:p w14:paraId="65A4909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14:paraId="36694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2" w:type="dxa"/>
          </w:tcPr>
          <w:p w14:paraId="4452F5F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14:paraId="6CF77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2" w:type="dxa"/>
          </w:tcPr>
          <w:p w14:paraId="2AA4197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14:paraId="04307DA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2E1EDF8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8"/>
        <w:gridCol w:w="8550"/>
      </w:tblGrid>
      <w:tr w14:paraId="41B5E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8" w:type="dxa"/>
            <w:vAlign w:val="center"/>
          </w:tcPr>
          <w:p w14:paraId="45773E9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8550" w:type="dxa"/>
          </w:tcPr>
          <w:p w14:paraId="201A021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12D53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8" w:type="dxa"/>
            <w:vAlign w:val="center"/>
          </w:tcPr>
          <w:p w14:paraId="128EBFB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550" w:type="dxa"/>
          </w:tcPr>
          <w:p w14:paraId="7FC546F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出现招标文件规定的资格审查不合格的情形。</w:t>
            </w:r>
          </w:p>
        </w:tc>
      </w:tr>
      <w:tr w14:paraId="7ECC2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8" w:type="dxa"/>
            <w:vAlign w:val="center"/>
          </w:tcPr>
          <w:p w14:paraId="159922B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550" w:type="dxa"/>
          </w:tcPr>
          <w:p w14:paraId="105221F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投标文件的资格部分中出现报价部分的全部或部分的投标报价信息(或组成资料)。</w:t>
            </w:r>
          </w:p>
        </w:tc>
      </w:tr>
    </w:tbl>
    <w:p w14:paraId="6EA2D20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9E847E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2、资格审查情况不得私自外泄，有关信息由 福建华晨项目管理有限公司 统一对外发布。</w:t>
      </w:r>
    </w:p>
    <w:p w14:paraId="318D7A6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3、资格审查合格的投标人不足三家的，不进行评标。同时，本次采购活动结束， 福建华晨项目管理有限公司 将依法组织后续采购活动（包括但不限于：重新招标、采用其他方式采购等）。</w:t>
      </w:r>
    </w:p>
    <w:p w14:paraId="0EAFC47B">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二、评标</w:t>
      </w:r>
    </w:p>
    <w:p w14:paraId="340019A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4、资格审查结束后，由 福建华晨项目管理有限公司 负责评标委员会的组建及评标工作的组织。</w:t>
      </w:r>
    </w:p>
    <w:p w14:paraId="46993AA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w:t>
      </w:r>
    </w:p>
    <w:p w14:paraId="5042355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由采购人代表和评审专家两部分共5人组成，其中由福建省政府采购评审专家库产生的评审专家4人，由采购人派出的采购人代表1人。</w:t>
      </w:r>
    </w:p>
    <w:p w14:paraId="31C22A4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5.2评标委员会负责具体评标事务，并按照下列原则依法独立履行有关职责：</w:t>
      </w:r>
    </w:p>
    <w:p w14:paraId="2B9DF94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14:paraId="69EC9B9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14:paraId="640A7C9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（3）评标的依据是招标文件和电子投标文件。</w:t>
      </w:r>
    </w:p>
    <w:p w14:paraId="1357470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（4）应按照招标文件规定推荐中标候选人或确定中标人。</w:t>
      </w:r>
    </w:p>
    <w:p w14:paraId="363E867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14:paraId="10EDE05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①评标情况不得私自外泄，有关信息由 福建华晨项目管理有限公司 统一对外发布。</w:t>
      </w:r>
    </w:p>
    <w:p w14:paraId="6AC2C6A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 福建华晨项目管理有限公司 或投标人提供的要求保密的资料，不得摘记翻印和外传。</w:t>
      </w:r>
    </w:p>
    <w:p w14:paraId="6176F8A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14:paraId="11C56EE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14:paraId="5101037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⑤评标中应充分发扬民主，推荐中标候选人或确定中标人后要服从评标报告。</w:t>
      </w:r>
    </w:p>
    <w:p w14:paraId="4C33B5A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14:paraId="2BCF441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6、评标程序</w:t>
      </w:r>
    </w:p>
    <w:p w14:paraId="4F7418C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6.1评标前的准备工作</w:t>
      </w:r>
    </w:p>
    <w:p w14:paraId="0C6E43F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14:paraId="155211C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179F8C7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6.2符合性审查</w:t>
      </w:r>
    </w:p>
    <w:p w14:paraId="3E4A522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（1）评标委员会依据招标文件的实质性要求，对通过资格审查的电子投标文件进行符合性审查，以确定其是否满足招标文件的实质性要求。</w:t>
      </w:r>
    </w:p>
    <w:p w14:paraId="29BA4E8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（2）满足招标文件的实质性要求指电子投标文件对招标文件实质性要求的响应不存在重大偏差或保留。</w:t>
      </w:r>
    </w:p>
    <w:p w14:paraId="0226DB0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E59391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50BD48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（5）评标委员会对所有投标人都执行相同的程序和标准。</w:t>
      </w:r>
    </w:p>
    <w:p w14:paraId="3F2BA38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（6）有下列情形之一的，符合性审查不合格：</w:t>
      </w:r>
    </w:p>
    <w:p w14:paraId="70D0446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①项目一般情形：</w:t>
      </w:r>
    </w:p>
    <w:p w14:paraId="6B532C9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4"/>
        <w:tblW w:w="0" w:type="auto"/>
        <w:tblInd w:w="1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2"/>
        <w:gridCol w:w="1401"/>
        <w:gridCol w:w="7400"/>
      </w:tblGrid>
      <w:tr w14:paraId="3C0D7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vAlign w:val="center"/>
          </w:tcPr>
          <w:p w14:paraId="05A1694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01" w:type="dxa"/>
            <w:vAlign w:val="center"/>
          </w:tcPr>
          <w:p w14:paraId="0B17C3E6">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符合审查要求概况</w:t>
            </w:r>
          </w:p>
        </w:tc>
        <w:tc>
          <w:tcPr>
            <w:tcW w:w="7400" w:type="dxa"/>
            <w:vAlign w:val="center"/>
          </w:tcPr>
          <w:p w14:paraId="0B0A56E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60D9E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tcPr>
          <w:p w14:paraId="0077E26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01" w:type="dxa"/>
          </w:tcPr>
          <w:p w14:paraId="5D695AC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7400" w:type="dxa"/>
          </w:tcPr>
          <w:p w14:paraId="1CEAA63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w:t>
            </w:r>
          </w:p>
        </w:tc>
      </w:tr>
      <w:tr w14:paraId="026F7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tcPr>
          <w:p w14:paraId="3396FFE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01" w:type="dxa"/>
          </w:tcPr>
          <w:p w14:paraId="611AE5F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7400" w:type="dxa"/>
          </w:tcPr>
          <w:p w14:paraId="237BEEB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属于招标文件第三章第10.12条规定的投标无效情形；</w:t>
            </w:r>
          </w:p>
        </w:tc>
      </w:tr>
      <w:tr w14:paraId="1F8F4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2" w:type="dxa"/>
          </w:tcPr>
          <w:p w14:paraId="37AF99A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01" w:type="dxa"/>
          </w:tcPr>
          <w:p w14:paraId="5F05E00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7400" w:type="dxa"/>
          </w:tcPr>
          <w:p w14:paraId="13CE272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投标文件对招标文件实质性要求的响应存在重大偏离或保留。</w:t>
            </w:r>
          </w:p>
        </w:tc>
      </w:tr>
    </w:tbl>
    <w:p w14:paraId="69BC6E6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②本项目规定的其他情形：</w:t>
      </w:r>
    </w:p>
    <w:p w14:paraId="1D866D1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61CB3BB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4"/>
        <w:tblW w:w="0" w:type="auto"/>
        <w:tblInd w:w="9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4"/>
        <w:gridCol w:w="8499"/>
      </w:tblGrid>
      <w:tr w14:paraId="64E1E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36E39726">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8499" w:type="dxa"/>
            <w:vAlign w:val="center"/>
          </w:tcPr>
          <w:p w14:paraId="4C7FE27B">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23240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6A64174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499" w:type="dxa"/>
          </w:tcPr>
          <w:p w14:paraId="4BD42D0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若投标人的技术部分实际得分少于招标文件设定的技术部分总分50%，即视为技术部分未实质性响应招标文件要求，按无效标处理。</w:t>
            </w:r>
          </w:p>
        </w:tc>
      </w:tr>
      <w:tr w14:paraId="2A1B7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23AD264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499" w:type="dxa"/>
          </w:tcPr>
          <w:p w14:paraId="76FD39C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招标文件第五章“二、技术和服务要求”中标注“★”号的要求为不可负偏离的实质性条款，有任一项负偏离视为未实质性响应招标文件要求，按无效投标处理。</w:t>
            </w:r>
          </w:p>
        </w:tc>
      </w:tr>
      <w:tr w14:paraId="1E858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33F0552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499" w:type="dxa"/>
          </w:tcPr>
          <w:p w14:paraId="6DE4352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投标文件的技术部分中出现报价部分的全部或部分的投标报价信息(或组成资料)。</w:t>
            </w:r>
          </w:p>
        </w:tc>
      </w:tr>
      <w:tr w14:paraId="42B5A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339BD23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499" w:type="dxa"/>
          </w:tcPr>
          <w:p w14:paraId="0C78E1B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违反招标文件中载明“投标无效”条款的规定或不符合招标文件规定的其它实质性要求。</w:t>
            </w:r>
          </w:p>
        </w:tc>
      </w:tr>
    </w:tbl>
    <w:p w14:paraId="115F38B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4"/>
        <w:tblW w:w="0" w:type="auto"/>
        <w:tblInd w:w="9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4"/>
        <w:gridCol w:w="8499"/>
      </w:tblGrid>
      <w:tr w14:paraId="0C705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566C89F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8499" w:type="dxa"/>
            <w:vAlign w:val="center"/>
          </w:tcPr>
          <w:p w14:paraId="1BF3EB4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46A60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547B8B3B">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499" w:type="dxa"/>
          </w:tcPr>
          <w:p w14:paraId="6256072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招标文件第五章“三、商务条件”中内容出负偏离的，按无效投标处理。</w:t>
            </w:r>
          </w:p>
        </w:tc>
      </w:tr>
      <w:tr w14:paraId="507D7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33536E5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499" w:type="dxa"/>
          </w:tcPr>
          <w:p w14:paraId="235E41F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投标文件的商务部分中出现报价部分的全部或部分的投标报价信息(或组成资料)。</w:t>
            </w:r>
          </w:p>
        </w:tc>
      </w:tr>
      <w:tr w14:paraId="521D1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5FC048AB">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499" w:type="dxa"/>
          </w:tcPr>
          <w:p w14:paraId="41E6635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违反招标文件中载明“投标无效”条款的规定或不符合招标文件规定的其它实质性要求。</w:t>
            </w:r>
          </w:p>
        </w:tc>
      </w:tr>
    </w:tbl>
    <w:p w14:paraId="67BC7EA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14:paraId="25B0744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4"/>
        <w:tblW w:w="0" w:type="auto"/>
        <w:tblInd w:w="9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4"/>
        <w:gridCol w:w="8515"/>
      </w:tblGrid>
      <w:tr w14:paraId="12BCC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6E0CF4D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8515" w:type="dxa"/>
            <w:vAlign w:val="center"/>
          </w:tcPr>
          <w:p w14:paraId="357F7AF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22AA6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2516050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515" w:type="dxa"/>
          </w:tcPr>
          <w:p w14:paraId="229D801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14:paraId="274DC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4" w:type="dxa"/>
            <w:vAlign w:val="center"/>
          </w:tcPr>
          <w:p w14:paraId="29E298D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8515" w:type="dxa"/>
          </w:tcPr>
          <w:p w14:paraId="12418B1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投标报价超出最高限价或预算金额或不符合招标文件报价要求的。</w:t>
            </w:r>
          </w:p>
        </w:tc>
      </w:tr>
    </w:tbl>
    <w:p w14:paraId="43D5013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6.3澄清有关问题</w:t>
      </w:r>
    </w:p>
    <w:p w14:paraId="3FECC2A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78D2CCB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242963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（3）电子投标文件报价出现前后不一致的，除招标文件另有规定外，按照下列规定修正：</w:t>
      </w:r>
    </w:p>
    <w:p w14:paraId="13B7571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①开标一览表内容与电子投标文件中相应内容不一致的，以开标一览表为准；</w:t>
      </w:r>
    </w:p>
    <w:p w14:paraId="0D482AA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②大写金额和小写金额不一致的，以大写金额为准；</w:t>
      </w:r>
    </w:p>
    <w:p w14:paraId="6AAFCED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③单价金额小数点或百分比有明显错位的，以开标一览表的总价为准，并修改单价；</w:t>
      </w:r>
    </w:p>
    <w:p w14:paraId="575979F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④总价金额与按照单价汇总金额不一致的，以单价金额计算结果为准。</w:t>
      </w:r>
    </w:p>
    <w:p w14:paraId="60E3DA0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0B953A4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（4）关于细微偏差</w:t>
      </w:r>
    </w:p>
    <w:p w14:paraId="66E0E30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625A00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4937C7C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（5）关于投标描述（即电子投标文件中描述的内容）</w:t>
      </w:r>
    </w:p>
    <w:p w14:paraId="45ACEED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①投标描述前后不一致且不涉及证明材料的：按照本章第6.3条第（1）、（2）款规定执行。</w:t>
      </w:r>
    </w:p>
    <w:p w14:paraId="772E47E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②投标描述与证明材料不一致或多份证明材料之间不一致的：</w:t>
      </w:r>
    </w:p>
    <w:p w14:paraId="41E8FC8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a.评标委员会将要求投标人进行书面澄清，并按照不利于投标人的内容进行评标。</w:t>
      </w:r>
    </w:p>
    <w:p w14:paraId="1FBF474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F206F3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0E709C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6.4比较与评价</w:t>
      </w:r>
    </w:p>
    <w:p w14:paraId="500FACF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（1）按照本章第7条载明的评标方法和标准，对符合性审查合格的电子投标文件进行比较与评价。</w:t>
      </w:r>
    </w:p>
    <w:p w14:paraId="6EDA8B0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（2）关于相同品牌产品（政府采购服务类项目不适用本条款规定）</w:t>
      </w:r>
    </w:p>
    <w:p w14:paraId="72C611C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0A1B42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6606741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3FFE736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b.招标文件未规定的，采取随机抽取方式确定，其他投标无效。</w:t>
      </w:r>
    </w:p>
    <w:p w14:paraId="66CE7CF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C78A92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10E3E12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7437499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14:paraId="7E95ED9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③非单一产品采购项目，多家投标人提供的核心产品品牌相同的，按照本章第6.4条第（2）款第①、②规定处理。</w:t>
      </w:r>
    </w:p>
    <w:p w14:paraId="52ED061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（3）漏（缺）项</w:t>
      </w:r>
    </w:p>
    <w:p w14:paraId="1D5DFF0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①招标文件中要求列入报价的费用（含配置、功能），漏（缺）项的报价视为已经包括在投标总价中。</w:t>
      </w:r>
    </w:p>
    <w:p w14:paraId="625FD11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②对多报项及赠送项的价格评标时不予核减，全部进入评标价评议。</w:t>
      </w:r>
    </w:p>
    <w:p w14:paraId="6B062C1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6.5推荐中标候选人：详见本章第7.2条规定。</w:t>
      </w:r>
    </w:p>
    <w:p w14:paraId="0BE765E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6.6编写评标报告</w:t>
      </w:r>
    </w:p>
    <w:p w14:paraId="5C058AB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（1）评标报告由评标委员会负责编写。</w:t>
      </w:r>
    </w:p>
    <w:p w14:paraId="43661BF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（2）评标报告应包括下列内容：</w:t>
      </w:r>
    </w:p>
    <w:p w14:paraId="13EE47C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①招标公告刊登的媒体名称、开标日期和地点；</w:t>
      </w:r>
    </w:p>
    <w:p w14:paraId="4C72A84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②投标人名单和评标委员会成员名单；</w:t>
      </w:r>
    </w:p>
    <w:p w14:paraId="1006E12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③评标方法和标准；</w:t>
      </w:r>
    </w:p>
    <w:p w14:paraId="55D236B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④开标记录和评标情况及说明，包括无效投标人名单及原因；</w:t>
      </w:r>
    </w:p>
    <w:p w14:paraId="0DA40EB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⑤评标结果，包括中标候选人名单或确定的中标人；</w:t>
      </w:r>
    </w:p>
    <w:p w14:paraId="1B4DE01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⑥其他需要说明的情况，包括但不限于：评标过程中投标人的澄清、说明或补正，评委更换等。</w:t>
      </w:r>
    </w:p>
    <w:p w14:paraId="2C6A561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CF6E1F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578B85D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6.9在评标过程中发现投标人有下列情形之一的，评标委员会应认定其投标无效，并书面报告本项目监督管理部门：</w:t>
      </w:r>
    </w:p>
    <w:p w14:paraId="1C51265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（1）恶意串通（包括但不限于招标文件第三章第9.7条规定情形）；</w:t>
      </w:r>
    </w:p>
    <w:p w14:paraId="567B6C6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（2）妨碍其他投标人的竞争行为；</w:t>
      </w:r>
    </w:p>
    <w:p w14:paraId="0E73219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（3）损害采购人或其他投标人的合法权益。</w:t>
      </w:r>
    </w:p>
    <w:p w14:paraId="058C1E6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6.10评标过程中，有下列情形之一的，应予废标：</w:t>
      </w:r>
    </w:p>
    <w:p w14:paraId="3D9B988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（1）符合性审查合格的投标人不足三家的；</w:t>
      </w:r>
    </w:p>
    <w:p w14:paraId="0AD4D50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（2）有关法律、法规和规章规定废标的情形。</w:t>
      </w:r>
    </w:p>
    <w:p w14:paraId="7854ED7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※若废标，则本次采购活动结束， 福建华晨项目管理有限公司 将依法组织后续采购活动（包括但不限于：重新招标、采用其他方式采购等）。</w:t>
      </w:r>
    </w:p>
    <w:p w14:paraId="246FD78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7、评标方法和标准</w:t>
      </w:r>
    </w:p>
    <w:p w14:paraId="739696F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7.1评标方法：</w:t>
      </w:r>
    </w:p>
    <w:p w14:paraId="3F9D035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14:paraId="7878ED8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7.2评标标准</w:t>
      </w:r>
    </w:p>
    <w:p w14:paraId="7F99D8B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14:paraId="0AA8EBE0">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14:paraId="310832BB">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9B744F9">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各项评审因素的设置如下：</w:t>
      </w:r>
    </w:p>
    <w:p w14:paraId="18E1EE39">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价格项（F1×A1）满分为10.0000分</w:t>
      </w:r>
    </w:p>
    <w:p w14:paraId="1F0B208B">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E36F9FC">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1383"/>
        <w:gridCol w:w="1758"/>
        <w:gridCol w:w="5692"/>
      </w:tblGrid>
      <w:tr w14:paraId="5C04D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4B0031C">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1383" w:type="dxa"/>
          </w:tcPr>
          <w:p w14:paraId="051F7DE4">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适用对象</w:t>
            </w:r>
          </w:p>
        </w:tc>
        <w:tc>
          <w:tcPr>
            <w:tcW w:w="1758" w:type="dxa"/>
          </w:tcPr>
          <w:p w14:paraId="24241FD6">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5692" w:type="dxa"/>
          </w:tcPr>
          <w:p w14:paraId="70C82D8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bl>
    <w:p w14:paraId="3E6F9EDE">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12"/>
        <w:gridCol w:w="983"/>
        <w:gridCol w:w="7850"/>
      </w:tblGrid>
      <w:tr w14:paraId="62721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205C114">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983" w:type="dxa"/>
          </w:tcPr>
          <w:p w14:paraId="6362989B">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7850" w:type="dxa"/>
          </w:tcPr>
          <w:p w14:paraId="725A4DC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2DFAD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4EB2AB2F">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983" w:type="dxa"/>
          </w:tcPr>
          <w:p w14:paraId="4206D2AC">
            <w:pPr>
              <w:pStyle w:val="6"/>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7850" w:type="dxa"/>
          </w:tcPr>
          <w:p w14:paraId="626F2D91">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本采购包为服务类项目，无节能、环境标志产品评审政策。因本项目专门面向中小企业采购，投标客户端没有其余端口可上传报价部分电子投标文件，投标人在此处应上传完整报价部分。</w:t>
            </w:r>
          </w:p>
        </w:tc>
      </w:tr>
    </w:tbl>
    <w:p w14:paraId="6B21A633">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5B01D301">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技术项（F2×A2）满分为74.0000分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39"/>
        <w:gridCol w:w="1167"/>
        <w:gridCol w:w="7150"/>
      </w:tblGrid>
      <w:tr w14:paraId="3918E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73BA1576">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167" w:type="dxa"/>
            <w:vAlign w:val="center"/>
          </w:tcPr>
          <w:p w14:paraId="0D98443B">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150" w:type="dxa"/>
            <w:vAlign w:val="center"/>
          </w:tcPr>
          <w:p w14:paraId="4CC3FB26">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638D4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57FE682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1.响应情况</w:t>
            </w:r>
          </w:p>
        </w:tc>
        <w:tc>
          <w:tcPr>
            <w:tcW w:w="1167" w:type="dxa"/>
            <w:vAlign w:val="center"/>
          </w:tcPr>
          <w:p w14:paraId="6A37869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31.0000</w:t>
            </w:r>
          </w:p>
        </w:tc>
        <w:tc>
          <w:tcPr>
            <w:tcW w:w="7150" w:type="dxa"/>
          </w:tcPr>
          <w:p w14:paraId="6FE64618">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根据投标人对招标文件第五章《招标内容及要求》“二、技术和服务要求”中所有内容的逐项响应情况由评标委员会进行评分, 完全满足招标文件“技术和服务要求”中要求的得31分，评标委员会按照以下标准进行评分：（1）以“★”标示（共7项）的内容为不允许负偏离的实质性要求，若负偏离则投标无效；（2）“技术和服务要求”中“▲”为重要参数（共2项），每偏离一项扣2.3分，共4.6分；（3）“未标注“★”和“▲”标示的技术参数，共计66个指标项，每偏离一项扣0.4分，共26.4分。【投标人必须根据该评审内容，对照招标文件的要求逐项进行应答，如实说明正、负偏离情况，否则，有可能做出不利于投标人的评判（负偏离）。】</w:t>
            </w:r>
          </w:p>
        </w:tc>
      </w:tr>
      <w:tr w14:paraId="67BAF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1FBAE12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2.服务管理方案</w:t>
            </w:r>
          </w:p>
        </w:tc>
        <w:tc>
          <w:tcPr>
            <w:tcW w:w="1167" w:type="dxa"/>
            <w:vAlign w:val="center"/>
          </w:tcPr>
          <w:p w14:paraId="04174B0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7EAFDFE1">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为本项目制定的保安服务管理方案（包括但不限于服务工作质量目标；服务工作管理思路；服务工作管理计划等），由评标委员会进行评分：提供的方案包含以上全部要点、内容与要点相符、内容详实、各要点内容之间关联性强，逻辑清晰，且按现有客观实际情况可以有效实施的得3分；提供的方案包含以上全部要点、内容与要点相符，但仅有纲要内容简略，未展开阐述的得2.8分；方案所包含的要点有缺漏的得2.6分；未提供或内容存在错误的不得分。</w:t>
            </w:r>
          </w:p>
        </w:tc>
      </w:tr>
      <w:tr w14:paraId="2F9DE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2DB097DB">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3.安全防范保障方案</w:t>
            </w:r>
          </w:p>
        </w:tc>
        <w:tc>
          <w:tcPr>
            <w:tcW w:w="1167" w:type="dxa"/>
            <w:vAlign w:val="center"/>
          </w:tcPr>
          <w:p w14:paraId="3E1C72B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361F09E0">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为本项目制定的安全防范保障方案（包括但不限于治安巡逻防范；出入口管理；交接班管理等），由评标委员会进行评分：提供的方案包含以上全部要点、内容与要点相符、内容详实、各要点内容之间关联性强，逻辑清晰，且按现有客观实际情况可以有效实施的得3分；提供的方案包含以上全部要点、内容与要点相符，但仅有纲要内容简略，未展开阐述的得2.8分；方案所包含的要点有缺漏的得2.6分；未提供或内容存在错误的不得分。</w:t>
            </w:r>
          </w:p>
        </w:tc>
      </w:tr>
      <w:tr w14:paraId="0AB31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366E693B">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4.队伍管理考核方案</w:t>
            </w:r>
          </w:p>
        </w:tc>
        <w:tc>
          <w:tcPr>
            <w:tcW w:w="1167" w:type="dxa"/>
            <w:vAlign w:val="center"/>
          </w:tcPr>
          <w:p w14:paraId="35D0EDB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3276D829">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为本项目制定的队伍管理考核方案（包括但不限于员工绩效考核细则；奖惩措施制度；员工奖罚条例等），由评标委员会进行评分：提供的方案包含以上全部要点、内容与要点相符、内容详实、各要点内容之间关联性强，逻辑清晰，且按现有客观实际情况可以有效实施的得3分；提供的方案包含以上全部要点、内容与要点相符，但仅有纲要内容简略，未展开阐述的得2.8分；方案所包含的要点有缺漏的得2.6分；未提供或内容存在错误的不得分。</w:t>
            </w:r>
          </w:p>
        </w:tc>
      </w:tr>
      <w:tr w14:paraId="3CA1B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1213473A">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5.反应措施方案</w:t>
            </w:r>
          </w:p>
        </w:tc>
        <w:tc>
          <w:tcPr>
            <w:tcW w:w="1167" w:type="dxa"/>
            <w:vAlign w:val="center"/>
          </w:tcPr>
          <w:p w14:paraId="1153E4E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5B6E9C38">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为本项目制定的反应措施方案（包括但不限于防洪防台风；群体性突发事件；防交通意外；防火防盗；抢险救援；人员伤害等），由评标委员会进行评分：提供的方案包含以上全部要点、内容与要点相符、内容详实、各要点内容之间关联性强，逻辑清晰，且按现有客观实际情况可以有效实施的得3分；提供的方案包含以上全部要点、内容与要点相符，但仅有纲要内容简略，未展开阐述的得2.8分；方案所包含的要点有缺漏的得2.6分；未提供或内容存在错误的不得分。</w:t>
            </w:r>
          </w:p>
        </w:tc>
      </w:tr>
      <w:tr w14:paraId="5C57D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1CA90AB1">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6.组织机构</w:t>
            </w:r>
          </w:p>
        </w:tc>
        <w:tc>
          <w:tcPr>
            <w:tcW w:w="1167" w:type="dxa"/>
            <w:vAlign w:val="center"/>
          </w:tcPr>
          <w:p w14:paraId="68CD622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2.0000</w:t>
            </w:r>
          </w:p>
        </w:tc>
        <w:tc>
          <w:tcPr>
            <w:tcW w:w="7150" w:type="dxa"/>
          </w:tcPr>
          <w:p w14:paraId="59779EA8">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为本项目制定的组织机构设置（包括但不限于各个阶层职责；管理措施等），由评标委员会进行评分：提供的方案包含以上全部要点、内容与要点相符、内容详实、各要点内容之间关联性强，逻辑清晰，且按现有客观实际情况可以有效实施的得2分；提供的方案包含以上全部要点、内容与要点相符，但仅有纲要内容简略，未展开阐述的得1.8分；方案所包含的要点有缺漏的得1.6分；未提供或内容存在错误的不得分。</w:t>
            </w:r>
          </w:p>
        </w:tc>
      </w:tr>
      <w:tr w14:paraId="238F8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32786419">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7.人员培训</w:t>
            </w:r>
          </w:p>
        </w:tc>
        <w:tc>
          <w:tcPr>
            <w:tcW w:w="1167" w:type="dxa"/>
            <w:vAlign w:val="center"/>
          </w:tcPr>
          <w:p w14:paraId="7AE5C0C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62679F04">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为本项目制定的保安人员培训计划方案（包括但不限于文明服务培训计划安排；文明服务规章制度等），由评标委员会进行评分：提供的方案包含以上全部要点、内容与要点相符、内容详实、各要点内容之间关联性强，逻辑清晰，且按现有客观实际情况可以有效实施的得3分；提供的方案包含以上全部要点、内容与要点相符，但仅有纲要内容简略，未展开阐述的得2.8分；方案所包含的要点有缺漏的得2.6分；未提供或内容存在错误的不得分。</w:t>
            </w:r>
          </w:p>
        </w:tc>
      </w:tr>
      <w:tr w14:paraId="264B4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215A130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8.防恐防暴</w:t>
            </w:r>
          </w:p>
        </w:tc>
        <w:tc>
          <w:tcPr>
            <w:tcW w:w="1167" w:type="dxa"/>
            <w:vAlign w:val="center"/>
          </w:tcPr>
          <w:p w14:paraId="5913014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249FD30C">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自2019年1月1日至投标截止时间止（以合同签订时间为准）投标人每提供1份反恐防暴现场处置演练经验的得1分，满分3分。注：须提供服务期内相关演练图片及与演练业主单位签订的服务合同复印件（同一业主单位不重复得分），未同时提供演练图片及服务合同的本项目不得分。</w:t>
            </w:r>
          </w:p>
        </w:tc>
      </w:tr>
      <w:tr w14:paraId="7A682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5BBEC34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9.防溺水工作</w:t>
            </w:r>
          </w:p>
        </w:tc>
        <w:tc>
          <w:tcPr>
            <w:tcW w:w="1167" w:type="dxa"/>
            <w:vAlign w:val="center"/>
          </w:tcPr>
          <w:p w14:paraId="1122877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4420A376">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自2019年1月1日至投标截止时间止（以合同签订时间为准）投标人每提供1份防溺水现场处置演练经验的得1分，满分3分。注：须提供服务期内相关演练图片及与演练业主单位签订的服务合同复印件（同一业主单位不重复得分），未同时提供演练图片及服务合同的本项目不得分。</w:t>
            </w:r>
          </w:p>
        </w:tc>
      </w:tr>
      <w:tr w14:paraId="7E6CC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7E4876DA">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10.健康体检</w:t>
            </w:r>
          </w:p>
        </w:tc>
        <w:tc>
          <w:tcPr>
            <w:tcW w:w="1167" w:type="dxa"/>
            <w:vAlign w:val="center"/>
          </w:tcPr>
          <w:p w14:paraId="24C0A34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2.0000</w:t>
            </w:r>
          </w:p>
        </w:tc>
        <w:tc>
          <w:tcPr>
            <w:tcW w:w="7150" w:type="dxa"/>
          </w:tcPr>
          <w:p w14:paraId="6AA84916">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投标人承诺中标后为本项目保安人员做定期身体检查，确保不会因保安人员的健康影响项目的正常运行的得2分。需提供相关承诺函，格式自拟，否则不得分。</w:t>
            </w:r>
          </w:p>
        </w:tc>
      </w:tr>
      <w:tr w14:paraId="0FACE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335755C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11.大队长</w:t>
            </w:r>
          </w:p>
        </w:tc>
        <w:tc>
          <w:tcPr>
            <w:tcW w:w="1167" w:type="dxa"/>
            <w:vAlign w:val="center"/>
          </w:tcPr>
          <w:p w14:paraId="3C4B39EA">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40483C8E">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根据投标人针对本项目拟派遣的大队长情况，由评委进行评分，满分3分。 ①针对本项目拟派遣的大队长具有一级保安员资格证的得1分；②针对本项目拟派遣的大队长具有红十字救护员证、转业或退伍军人证，具有以上任意二项及以上证书的得2分。 注：投标人需同时提供该人员有效的身份证复印件、投标截止时间前六个月（不含投标截止时间当月）任意一个月由投标人为其缴纳社保的证明材料复印件及以上评审项相关证书复印件，未提供或提供不全的不得分。（11.大队长、12.副大队长、13.带班班长、14.人员结构一、15.人员结构二、16.人员结构三中所提供的人员不得重复，否则不计分。）</w:t>
            </w:r>
          </w:p>
        </w:tc>
      </w:tr>
      <w:tr w14:paraId="1B631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25DB91F1">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12.副大队长</w:t>
            </w:r>
          </w:p>
        </w:tc>
        <w:tc>
          <w:tcPr>
            <w:tcW w:w="1167" w:type="dxa"/>
            <w:vAlign w:val="center"/>
          </w:tcPr>
          <w:p w14:paraId="071A004B">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18A4AF4F">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根据投标人针对本项目拟派遣的副大队长情况，由评委进行评分，满分3分。 ①针对本项目拟派遣的副大队长具有二级或以上保安员资格证的得1分； ②针对本项目拟派遣的副大队长具有红十字救护员证、转业或退伍军人证，具有以上任意二项及以上证书的得2分。注：投标人需同时提供该人员有效的身份证复印件、投标截止时间前六个月（不含投标截止时间当月）任意一个月由投标人为其缴纳社保的证明材料复印件及以上评审项相关证书复印件，未提供或提供不全的不得分。（11.大队长、12.副大队长、13.带班班长、14.人员结构一、15.人员结构二、16.人员结构三中所提供的人员不得重复，否则不计分。）</w:t>
            </w:r>
          </w:p>
        </w:tc>
      </w:tr>
      <w:tr w14:paraId="6676D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196E3DA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13.带班班长</w:t>
            </w:r>
          </w:p>
        </w:tc>
        <w:tc>
          <w:tcPr>
            <w:tcW w:w="1167" w:type="dxa"/>
            <w:vAlign w:val="center"/>
          </w:tcPr>
          <w:p w14:paraId="26005D79">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0AD8F746">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根据投标人针对本项目拟派遣的带班班长情况，由评委进行评分： 拟派遣的带班班长中每具有1名持有二级或以上保安员资格证的得1分，满分3分。注：投标人需同时提供该人员有效的身份证复印件、投标截止时间前六个月（不含投标截止时间当月）任意一个月由投标人为其缴纳社保的证明材料复印件及以上评审项相关证书复印件，未提供或提供不全的不得分。（11.大队长、12.副大队长、13.带班班长、14.人员结构一、15.人员结构二、16.人员结构三中所提供的人员不得重复，否则不计分。）</w:t>
            </w:r>
          </w:p>
        </w:tc>
      </w:tr>
      <w:tr w14:paraId="07F27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197C0DF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14.人员结构一</w:t>
            </w:r>
          </w:p>
        </w:tc>
        <w:tc>
          <w:tcPr>
            <w:tcW w:w="1167" w:type="dxa"/>
            <w:vAlign w:val="center"/>
          </w:tcPr>
          <w:p w14:paraId="19C1262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1569B1A2">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拟派遣的人员情况，由评委进行评分：拟派遣本项目的人员中每具有1名持有应急救援员证书的得0.5分，满分3分。注：投标人需同时提供该人员有效的身份证复印件、投标截止时间前六个月（不含投标截止时间当月）任意一个月由投标人为其缴纳社保的证明材料复印件及以上评审项相关证书复印件，未提供或提供不全的不得分。（11.大队长、12.副大队长、13.带班班长、14.人员结构一、15.人员结构二、16.人员结构三中所提供的人员不得重复，否则不计分。）</w:t>
            </w:r>
          </w:p>
        </w:tc>
      </w:tr>
      <w:tr w14:paraId="5DC39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4653B8F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15.人员结构二</w:t>
            </w:r>
          </w:p>
        </w:tc>
        <w:tc>
          <w:tcPr>
            <w:tcW w:w="1167" w:type="dxa"/>
            <w:vAlign w:val="center"/>
          </w:tcPr>
          <w:p w14:paraId="23911716">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6C307662">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拟派遣的人员情况，由评委进行评分：拟派遣本项目的人员中每具有1名持有红十字救护员证的得0.5分，满分3分。注：投标人需同时提供该人员有效的身份证复印件、投标截止时间前六个月（不含投标截止时间当月）任意一个月由投标人为其缴纳社保的证明材料复印件及以上评审项相关证书复印件，未提供或提供不全的不得分。（11.大队长、12.副大队长、13.带班班长、14.人员结构一、15.人员结构二、16.人员结构三中所提供的人员不得重复，否则不计分。）</w:t>
            </w:r>
          </w:p>
        </w:tc>
      </w:tr>
      <w:tr w14:paraId="366BC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49AA84A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16.人员结构三</w:t>
            </w:r>
          </w:p>
        </w:tc>
        <w:tc>
          <w:tcPr>
            <w:tcW w:w="1167" w:type="dxa"/>
            <w:vAlign w:val="center"/>
          </w:tcPr>
          <w:p w14:paraId="62DEBE0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50" w:type="dxa"/>
          </w:tcPr>
          <w:p w14:paraId="2C8D52E4">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拟派遣的人员情况，由评委进行评分：拟派遣本项目人员中4名的基础上每增加1名持有C级及以上机动车驾驶证的得1分，满分3分。注：投标人需同时提供该人员有效的身份证复印件、投标截止时间前六个月（不含投标截止时间当月）任意一个月由投标人为其缴纳社保的证明材料复印件及以上评审项相关证书复印件，未提供或提供不全的不得分。（11.大队长、12.副大队长、13.带班班长、14.人员结构一、15.人员结构二、16.人员结构三中所提供的人员不得重复，否则不计分。）</w:t>
            </w:r>
          </w:p>
        </w:tc>
      </w:tr>
    </w:tbl>
    <w:p w14:paraId="32534B5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商务项（F3×A3）满分为16.0000分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39"/>
        <w:gridCol w:w="1150"/>
        <w:gridCol w:w="7184"/>
      </w:tblGrid>
      <w:tr w14:paraId="487A8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6B60DF6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150" w:type="dxa"/>
            <w:vAlign w:val="center"/>
          </w:tcPr>
          <w:p w14:paraId="5E5F09C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184" w:type="dxa"/>
            <w:vAlign w:val="center"/>
          </w:tcPr>
          <w:p w14:paraId="02866C2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4EA68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1C204A5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1.法务律师合作关系</w:t>
            </w:r>
          </w:p>
        </w:tc>
        <w:tc>
          <w:tcPr>
            <w:tcW w:w="1150" w:type="dxa"/>
            <w:vAlign w:val="center"/>
          </w:tcPr>
          <w:p w14:paraId="33F8149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84" w:type="dxa"/>
          </w:tcPr>
          <w:p w14:paraId="1962DB3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自2019年1月1日至投标截止时间止（以合同签订时间为准），投标人有与专业律师事务所合作，具备帮助采购人解决相关法律纠纷、咨询能力的得3分。注：须提供相关合作协议合同证明（须在有效期内）及汇款转账凭证、发票复印件等证明，未提供或提供不全的不得分。</w:t>
            </w:r>
          </w:p>
        </w:tc>
      </w:tr>
      <w:tr w14:paraId="63C0E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3E31EDE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2.投标人荣誉</w:t>
            </w:r>
          </w:p>
        </w:tc>
        <w:tc>
          <w:tcPr>
            <w:tcW w:w="1150" w:type="dxa"/>
            <w:vAlign w:val="center"/>
          </w:tcPr>
          <w:p w14:paraId="1CE2A34A">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w:t>
            </w:r>
          </w:p>
        </w:tc>
        <w:tc>
          <w:tcPr>
            <w:tcW w:w="7184" w:type="dxa"/>
          </w:tcPr>
          <w:p w14:paraId="4917551E">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投标人拟派遣保安人员中受到过政府部门或行政机关表彰（扬）（须与采购项目的具体特点和实际需要相适应或者合同履行）相关的，每提供1份得0.5分，满分1分。注：若为投标人受到表彰（扬）的，须提供投标人受到表彰（扬）的证明材料复印件和采购合同文本复印件；若为投标人拟派遣的保安人员受到表彰（扬）的，须提供拟派遣保安人员受到表彰（扬）的证明材料复印件、劳动合同复印件和投标截止时间前六个月（不含投标截止时间当月）任意一个月由投标人为其缴纳社保的证明材料复印件，未提供或提供不全的不得分。（2.投标人荣誉、3.抓获现行违法犯罪情况、4.好人好事中所提供的证明内容不得重复，否则不计分。）</w:t>
            </w:r>
          </w:p>
        </w:tc>
      </w:tr>
      <w:tr w14:paraId="41398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4FA2D43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3.抓获现行违法犯罪情况</w:t>
            </w:r>
          </w:p>
        </w:tc>
        <w:tc>
          <w:tcPr>
            <w:tcW w:w="1150" w:type="dxa"/>
            <w:vAlign w:val="center"/>
          </w:tcPr>
          <w:p w14:paraId="228F7FF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84" w:type="dxa"/>
          </w:tcPr>
          <w:p w14:paraId="764D9CE3">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自2019年1月1日至投标截止时间止（以合同签订时间为准），投标人承接的保安服务项目中拥有抓获现行违法犯罪嫌疑人，并提供公安机关相关处理证明函和拘留证明的，每提供1份得1分，满分3分。（2.投标人荣誉、3.抓获现行违法犯罪情况、4.好人好事中所提供的证明内容不得重复，否则不计分。）</w:t>
            </w:r>
          </w:p>
        </w:tc>
      </w:tr>
      <w:tr w14:paraId="3607E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7534897B">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4.好人好事</w:t>
            </w:r>
          </w:p>
        </w:tc>
        <w:tc>
          <w:tcPr>
            <w:tcW w:w="1150" w:type="dxa"/>
            <w:vAlign w:val="center"/>
          </w:tcPr>
          <w:p w14:paraId="34882DF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84" w:type="dxa"/>
          </w:tcPr>
          <w:p w14:paraId="3AC5A3BD">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自2019年1月1日起至投标截止时间止（以合同期限为准），投标人承接的保安服务项目中的保安人员有在县级及以上媒体（报刊等）刊登报道过好人好事先进事迹的（须与安保服务项目有关），每提供一份证明材料的得0.5分，满分3分。注：须提供相关证明材料复印件，未提供或提供不全的不得分。（2.投标人荣誉、3.抓获现行违法犯罪情况、4.好人好事中所提供的证明内容不得重复，否则不计分。）</w:t>
            </w:r>
          </w:p>
        </w:tc>
      </w:tr>
      <w:tr w14:paraId="04D65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5FAF69B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5.业绩</w:t>
            </w:r>
          </w:p>
        </w:tc>
        <w:tc>
          <w:tcPr>
            <w:tcW w:w="1150" w:type="dxa"/>
            <w:vAlign w:val="center"/>
          </w:tcPr>
          <w:p w14:paraId="699180A9">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84" w:type="dxa"/>
          </w:tcPr>
          <w:p w14:paraId="757BE2FE">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自2019年1月1日起至投标截止时间止（以合同期限为准）由投标人自身完成的或正在履行的日常保安服务项目业绩情况进行评议（临时性任务不计分）：每提供1份有效业绩的得0.5分，满分3分。注：①投标人须提供业绩项目的中标公告（提供相关网站中标公告的下载网页或截图并注明网址）、中标通知书复印件、采购合同文本复印件及业主单位相关管理部门出具的评价报告（或业主满意度证明文件）复印件，未提供或提供的材料不完整的则不得分。②相同采购单位的项目业绩，不重复得分。③5.业绩、6.业主评价所提供的业绩不得重复，否则不计分。</w:t>
            </w:r>
          </w:p>
        </w:tc>
      </w:tr>
      <w:tr w14:paraId="1DD0C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39" w:type="dxa"/>
            <w:vAlign w:val="center"/>
          </w:tcPr>
          <w:p w14:paraId="0757725A">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6.业主评价</w:t>
            </w:r>
          </w:p>
        </w:tc>
        <w:tc>
          <w:tcPr>
            <w:tcW w:w="1150" w:type="dxa"/>
            <w:vAlign w:val="center"/>
          </w:tcPr>
          <w:p w14:paraId="2FB70F5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c>
          <w:tcPr>
            <w:tcW w:w="7184" w:type="dxa"/>
          </w:tcPr>
          <w:p w14:paraId="0D3ECC1D">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所提供的自2019年1月1日起至投标截止时间止（以合同期限为准）由投标人自身完成的或正在履行的日常保安服务项目获得业主方满意度评价为“优秀”或者“满意”等最高评级的，每提供1份得1分，满分3分。注：①投标人须提供业绩项目的中标公告（提供相关网站中标公告的下载网页或截图并注明网址）、中标通知书复印件、采购合同文本复印件及业主单位相关管理部门出具的评价报告（或业主满意度证明文件）复印件未提供或提供的材料不完整的则不得分。②相同采购单位的项目业绩，不重复得分。③5.业绩、6.业主评价所提供的业绩不得重复，否则不计分。</w:t>
            </w:r>
          </w:p>
        </w:tc>
      </w:tr>
    </w:tbl>
    <w:p w14:paraId="067E4561">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※除本章第6.3条第（3）款规定情形和落实政府采购政策需进行的价格扣除情形外，不能对投标人的投标报价进行任何调整。</w:t>
      </w:r>
    </w:p>
    <w:p w14:paraId="2C7D806F">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（3）中标候选人排列规则顺序如下：</w:t>
      </w:r>
    </w:p>
    <w:p w14:paraId="04A61BF4">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14:paraId="2C4B00D5">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14:paraId="2AA69008">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14:paraId="49631BB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8、其他规定</w:t>
      </w:r>
    </w:p>
    <w:p w14:paraId="2223879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8.1评标应全程保密且不得透露给任一投标人或与评标工作无关的人员。</w:t>
      </w:r>
    </w:p>
    <w:p w14:paraId="65276C2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8.2评标将进行全程实时录音录像，录音录像资料随采购文件一并存档。</w:t>
      </w:r>
    </w:p>
    <w:p w14:paraId="6AA7D97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2797A9E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8.4其他：无。</w:t>
      </w:r>
      <w:r>
        <w:rPr>
          <w:rFonts w:hint="eastAsia" w:ascii="宋体" w:hAnsi="宋体" w:eastAsia="宋体" w:cs="宋体"/>
          <w:color w:val="auto"/>
          <w:sz w:val="24"/>
          <w:szCs w:val="24"/>
          <w:highlight w:val="none"/>
        </w:rPr>
        <w:br w:type="page"/>
      </w:r>
    </w:p>
    <w:p w14:paraId="4F8CD42D">
      <w:pPr>
        <w:pStyle w:val="6"/>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第五章 招标内容及要求</w:t>
      </w:r>
    </w:p>
    <w:p w14:paraId="7D2C1322">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14:paraId="1D3D7B1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1.项目名称：福建理工大学旗山校区2024－2026年保安服务采购项目</w:t>
      </w:r>
    </w:p>
    <w:p w14:paraId="16E509B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2.项目地点：福建理工大学旗山校区</w:t>
      </w:r>
    </w:p>
    <w:p w14:paraId="59D9606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期限：二年（2024.09.01－2026.08.31）。在合同履行期间，依据“保安工作考核表”进行考核，中标人达不到采购人有关管理要求，采购人可根据情况提前终止与中标人的合同，且不承担违约责任。投标人须具有经公安机关颁发的《保安服务许可证》，在合同执行期间，如遇政策原因原《保安服务许可证》失效，须在三个月内重新获得，否则中止双方合同。如新政策不再要求原资格许可条件，则按新政策有关规定执行。</w:t>
      </w:r>
    </w:p>
    <w:p w14:paraId="200F83F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内容：福建理工大学旗山校区拟采购22个岗位88名保安人员服务，根据采购人确认岗位，中标人向采购人提供保安服务，并按照采购人的管理要求对上岗的保安人员进行培训、管理，执行安全防范任务，承担采购人管理范围内工作，包括南北区各大门门卫、校园巡逻、重点场所守护、学校大型活动、各类考试、评估审核及会务工作等安全保障任务，校内临时性的应急处置工作，并维护好校内道路交通秩序、防火、防盗、防破坏、防事故、防暴恐等安全工作，确保校园安全稳定。</w:t>
      </w:r>
    </w:p>
    <w:p w14:paraId="1B8335DD">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14:paraId="7F23B6B5">
      <w:pPr>
        <w:pStyle w:val="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（一）工作模式及岗位要求</w:t>
      </w:r>
    </w:p>
    <w:p w14:paraId="04023D3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安人员及岗位要求：应配备保安人员88名。实行24小时四班三运转工作制，即每天24小时都必须有三组人员上班，一班休息，每组上班时间8小时（白班7:00-15:00；中班15:00-23:00；晚班23:00-次日7:00）。配备的人员以“精干、高效、敬业”用人原则为基础，确定“重能力更重品德”的用人标准。</w:t>
      </w:r>
    </w:p>
    <w:p w14:paraId="18087DCD">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（指标1）</w:t>
      </w:r>
      <w:r>
        <w:rPr>
          <w:rFonts w:hint="eastAsia" w:ascii="宋体" w:hAnsi="宋体" w:eastAsia="宋体" w:cs="宋体"/>
          <w:color w:val="auto"/>
          <w:sz w:val="24"/>
          <w:szCs w:val="24"/>
          <w:highlight w:val="none"/>
        </w:rPr>
        <w:t>2.岗位要求</w:t>
      </w:r>
    </w:p>
    <w:tbl>
      <w:tblPr>
        <w:tblStyle w:val="4"/>
        <w:tblW w:w="0" w:type="auto"/>
        <w:tblInd w:w="109"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44"/>
        <w:gridCol w:w="4244"/>
        <w:gridCol w:w="1067"/>
        <w:gridCol w:w="3211"/>
      </w:tblGrid>
      <w:tr w14:paraId="3D409A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2E09A1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校区</w:t>
            </w:r>
          </w:p>
        </w:tc>
        <w:tc>
          <w:tcPr>
            <w:tcW w:w="42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92E800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10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DFF0D6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岗位数</w:t>
            </w:r>
          </w:p>
        </w:tc>
        <w:tc>
          <w:tcPr>
            <w:tcW w:w="32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CBF02F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w:t>
            </w:r>
          </w:p>
        </w:tc>
      </w:tr>
      <w:tr w14:paraId="488EEC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8FF717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旗山校区</w:t>
            </w:r>
          </w:p>
        </w:tc>
        <w:tc>
          <w:tcPr>
            <w:tcW w:w="4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135E7D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北校区南大门</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651125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E29C9F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r>
      <w:tr w14:paraId="7145E2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 w:type="dxa"/>
            <w:vMerge w:val="continue"/>
            <w:tcBorders>
              <w:top w:val="nil"/>
              <w:left w:val="single" w:color="000000" w:sz="4" w:space="0"/>
              <w:bottom w:val="single" w:color="000000" w:sz="4" w:space="0"/>
              <w:right w:val="single" w:color="000000" w:sz="4" w:space="0"/>
            </w:tcBorders>
            <w:vAlign w:val="center"/>
          </w:tcPr>
          <w:p w14:paraId="36721BA4">
            <w:pPr>
              <w:jc w:val="center"/>
              <w:rPr>
                <w:rFonts w:hint="eastAsia" w:ascii="宋体" w:hAnsi="宋体" w:eastAsia="宋体" w:cs="宋体"/>
                <w:color w:val="auto"/>
                <w:sz w:val="24"/>
                <w:szCs w:val="24"/>
                <w:highlight w:val="none"/>
              </w:rPr>
            </w:pPr>
          </w:p>
        </w:tc>
        <w:tc>
          <w:tcPr>
            <w:tcW w:w="4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AB4650B">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北校区北大门</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10F240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BF1177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6C208C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 w:type="dxa"/>
            <w:vMerge w:val="continue"/>
            <w:tcBorders>
              <w:top w:val="nil"/>
              <w:left w:val="single" w:color="000000" w:sz="4" w:space="0"/>
              <w:bottom w:val="single" w:color="000000" w:sz="4" w:space="0"/>
              <w:right w:val="single" w:color="000000" w:sz="4" w:space="0"/>
            </w:tcBorders>
            <w:vAlign w:val="center"/>
          </w:tcPr>
          <w:p w14:paraId="7D2816AB">
            <w:pPr>
              <w:jc w:val="center"/>
              <w:rPr>
                <w:rFonts w:hint="eastAsia" w:ascii="宋体" w:hAnsi="宋体" w:eastAsia="宋体" w:cs="宋体"/>
                <w:color w:val="auto"/>
                <w:sz w:val="24"/>
                <w:szCs w:val="24"/>
                <w:highlight w:val="none"/>
              </w:rPr>
            </w:pPr>
          </w:p>
        </w:tc>
        <w:tc>
          <w:tcPr>
            <w:tcW w:w="4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3DC656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北校区西大门</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C98802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B8C892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r>
      <w:tr w14:paraId="794388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 w:type="dxa"/>
            <w:vMerge w:val="continue"/>
            <w:tcBorders>
              <w:top w:val="nil"/>
              <w:left w:val="single" w:color="000000" w:sz="4" w:space="0"/>
              <w:bottom w:val="single" w:color="000000" w:sz="4" w:space="0"/>
              <w:right w:val="single" w:color="000000" w:sz="4" w:space="0"/>
            </w:tcBorders>
            <w:vAlign w:val="center"/>
          </w:tcPr>
          <w:p w14:paraId="61CD4C7B">
            <w:pPr>
              <w:jc w:val="center"/>
              <w:rPr>
                <w:rFonts w:hint="eastAsia" w:ascii="宋体" w:hAnsi="宋体" w:eastAsia="宋体" w:cs="宋体"/>
                <w:color w:val="auto"/>
                <w:sz w:val="24"/>
                <w:szCs w:val="24"/>
                <w:highlight w:val="none"/>
              </w:rPr>
            </w:pPr>
          </w:p>
        </w:tc>
        <w:tc>
          <w:tcPr>
            <w:tcW w:w="4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6AED25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北校区步行桥门</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A0B52A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DFCC30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0039C7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 w:type="dxa"/>
            <w:vMerge w:val="continue"/>
            <w:tcBorders>
              <w:top w:val="nil"/>
              <w:left w:val="single" w:color="000000" w:sz="4" w:space="0"/>
              <w:bottom w:val="single" w:color="000000" w:sz="4" w:space="0"/>
              <w:right w:val="single" w:color="000000" w:sz="4" w:space="0"/>
            </w:tcBorders>
            <w:vAlign w:val="center"/>
          </w:tcPr>
          <w:p w14:paraId="0C6ED2EF">
            <w:pPr>
              <w:jc w:val="center"/>
              <w:rPr>
                <w:rFonts w:hint="eastAsia" w:ascii="宋体" w:hAnsi="宋体" w:eastAsia="宋体" w:cs="宋体"/>
                <w:color w:val="auto"/>
                <w:sz w:val="24"/>
                <w:szCs w:val="24"/>
                <w:highlight w:val="none"/>
              </w:rPr>
            </w:pPr>
          </w:p>
        </w:tc>
        <w:tc>
          <w:tcPr>
            <w:tcW w:w="4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599F73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应急岗位</w:t>
            </w:r>
          </w:p>
          <w:p w14:paraId="0DD0D1A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（大队长1名、副大队长3名）</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8D577D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0BA687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54720E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 w:type="dxa"/>
            <w:vMerge w:val="continue"/>
            <w:tcBorders>
              <w:top w:val="nil"/>
              <w:left w:val="single" w:color="000000" w:sz="4" w:space="0"/>
              <w:bottom w:val="single" w:color="000000" w:sz="4" w:space="0"/>
              <w:right w:val="single" w:color="000000" w:sz="4" w:space="0"/>
            </w:tcBorders>
            <w:vAlign w:val="center"/>
          </w:tcPr>
          <w:p w14:paraId="2BB7DB50">
            <w:pPr>
              <w:jc w:val="center"/>
              <w:rPr>
                <w:rFonts w:hint="eastAsia" w:ascii="宋体" w:hAnsi="宋体" w:eastAsia="宋体" w:cs="宋体"/>
                <w:color w:val="auto"/>
                <w:sz w:val="24"/>
                <w:szCs w:val="24"/>
                <w:highlight w:val="none"/>
              </w:rPr>
            </w:pPr>
          </w:p>
        </w:tc>
        <w:tc>
          <w:tcPr>
            <w:tcW w:w="4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4AC26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南校区南大门</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A58DED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C87745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r>
      <w:tr w14:paraId="79A559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 w:type="dxa"/>
            <w:vMerge w:val="continue"/>
            <w:tcBorders>
              <w:top w:val="nil"/>
              <w:left w:val="single" w:color="000000" w:sz="4" w:space="0"/>
              <w:bottom w:val="single" w:color="000000" w:sz="4" w:space="0"/>
              <w:right w:val="single" w:color="000000" w:sz="4" w:space="0"/>
            </w:tcBorders>
            <w:vAlign w:val="center"/>
          </w:tcPr>
          <w:p w14:paraId="01C5AE3A">
            <w:pPr>
              <w:jc w:val="center"/>
              <w:rPr>
                <w:rFonts w:hint="eastAsia" w:ascii="宋体" w:hAnsi="宋体" w:eastAsia="宋体" w:cs="宋体"/>
                <w:color w:val="auto"/>
                <w:sz w:val="24"/>
                <w:szCs w:val="24"/>
                <w:highlight w:val="none"/>
              </w:rPr>
            </w:pPr>
          </w:p>
        </w:tc>
        <w:tc>
          <w:tcPr>
            <w:tcW w:w="4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719597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南校区科技路门</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ADBB7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049DA6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715F1F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 w:type="dxa"/>
            <w:vMerge w:val="continue"/>
            <w:tcBorders>
              <w:top w:val="nil"/>
              <w:left w:val="single" w:color="000000" w:sz="4" w:space="0"/>
              <w:bottom w:val="single" w:color="000000" w:sz="4" w:space="0"/>
              <w:right w:val="single" w:color="000000" w:sz="4" w:space="0"/>
            </w:tcBorders>
            <w:vAlign w:val="center"/>
          </w:tcPr>
          <w:p w14:paraId="35040C91">
            <w:pPr>
              <w:jc w:val="center"/>
              <w:rPr>
                <w:rFonts w:hint="eastAsia" w:ascii="宋体" w:hAnsi="宋体" w:eastAsia="宋体" w:cs="宋体"/>
                <w:color w:val="auto"/>
                <w:sz w:val="24"/>
                <w:szCs w:val="24"/>
                <w:highlight w:val="none"/>
              </w:rPr>
            </w:pPr>
          </w:p>
        </w:tc>
        <w:tc>
          <w:tcPr>
            <w:tcW w:w="4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DD0D83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安防监控室</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D1D3E0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63569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4761E5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 w:type="dxa"/>
            <w:vMerge w:val="continue"/>
            <w:tcBorders>
              <w:top w:val="nil"/>
              <w:left w:val="single" w:color="000000" w:sz="4" w:space="0"/>
              <w:bottom w:val="single" w:color="000000" w:sz="4" w:space="0"/>
              <w:right w:val="single" w:color="000000" w:sz="4" w:space="0"/>
            </w:tcBorders>
            <w:vAlign w:val="center"/>
          </w:tcPr>
          <w:p w14:paraId="59C840EA">
            <w:pPr>
              <w:jc w:val="center"/>
              <w:rPr>
                <w:rFonts w:hint="eastAsia" w:ascii="宋体" w:hAnsi="宋体" w:eastAsia="宋体" w:cs="宋体"/>
                <w:color w:val="auto"/>
                <w:sz w:val="24"/>
                <w:szCs w:val="24"/>
                <w:highlight w:val="none"/>
              </w:rPr>
            </w:pPr>
          </w:p>
        </w:tc>
        <w:tc>
          <w:tcPr>
            <w:tcW w:w="4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6870C7D">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消防监控室</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BAB1AF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45066D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2C9030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 w:type="dxa"/>
            <w:vMerge w:val="continue"/>
            <w:tcBorders>
              <w:top w:val="nil"/>
              <w:left w:val="single" w:color="000000" w:sz="4" w:space="0"/>
              <w:bottom w:val="single" w:color="000000" w:sz="4" w:space="0"/>
              <w:right w:val="single" w:color="000000" w:sz="4" w:space="0"/>
            </w:tcBorders>
            <w:vAlign w:val="center"/>
          </w:tcPr>
          <w:p w14:paraId="76C37B57">
            <w:pPr>
              <w:jc w:val="center"/>
              <w:rPr>
                <w:rFonts w:hint="eastAsia" w:ascii="宋体" w:hAnsi="宋体" w:eastAsia="宋体" w:cs="宋体"/>
                <w:color w:val="auto"/>
                <w:sz w:val="24"/>
                <w:szCs w:val="24"/>
                <w:highlight w:val="none"/>
              </w:rPr>
            </w:pPr>
          </w:p>
        </w:tc>
        <w:tc>
          <w:tcPr>
            <w:tcW w:w="4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A4633E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北区校内带班、巡逻</w:t>
            </w:r>
          </w:p>
          <w:p w14:paraId="18EA9CA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（带班班长4名、巡逻队员4名）</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619426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CDBF21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3270C1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 w:type="dxa"/>
            <w:vMerge w:val="continue"/>
            <w:tcBorders>
              <w:top w:val="nil"/>
              <w:left w:val="single" w:color="000000" w:sz="4" w:space="0"/>
              <w:bottom w:val="single" w:color="000000" w:sz="4" w:space="0"/>
              <w:right w:val="single" w:color="000000" w:sz="4" w:space="0"/>
            </w:tcBorders>
            <w:vAlign w:val="center"/>
          </w:tcPr>
          <w:p w14:paraId="2ECDB097">
            <w:pPr>
              <w:jc w:val="center"/>
              <w:rPr>
                <w:rFonts w:hint="eastAsia" w:ascii="宋体" w:hAnsi="宋体" w:eastAsia="宋体" w:cs="宋体"/>
                <w:color w:val="auto"/>
                <w:sz w:val="24"/>
                <w:szCs w:val="24"/>
                <w:highlight w:val="none"/>
              </w:rPr>
            </w:pPr>
          </w:p>
        </w:tc>
        <w:tc>
          <w:tcPr>
            <w:tcW w:w="42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ABB0856">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南区校内带班、巡逻</w:t>
            </w:r>
          </w:p>
          <w:p w14:paraId="491FED1A">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（带班班长4名、巡逻队员4名）</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3D6782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E87415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6DD9DD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8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36B57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3F411B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3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2EF3FA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w:t>
            </w:r>
          </w:p>
        </w:tc>
      </w:tr>
    </w:tbl>
    <w:p w14:paraId="07CE6387">
      <w:pPr>
        <w:pStyle w:val="6"/>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(二）设备配备要求</w:t>
      </w:r>
    </w:p>
    <w:p w14:paraId="144F99B6">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按照现有保安工作的具体要求，中标人须配备四季保安工作服（各2套及以上）和必要的保安设备（包括四轮电动巡逻车1辆、两轮电动巡逻车2辆、单兵装备1套等，需细化清单）。采购人应负责配置安保条例规定的防护、防暴、消防、救生等设备。</w:t>
      </w:r>
      <w:r>
        <w:rPr>
          <w:rFonts w:hint="eastAsia" w:ascii="宋体" w:hAnsi="宋体" w:eastAsia="宋体" w:cs="宋体"/>
          <w:b/>
          <w:color w:val="auto"/>
          <w:sz w:val="24"/>
          <w:szCs w:val="24"/>
          <w:highlight w:val="none"/>
          <w:shd w:val="clear" w:fill="D9D9D9"/>
        </w:rPr>
        <w:t>投标人须对以上内容进行书面承诺（承诺函格式自拟）。</w:t>
      </w:r>
    </w:p>
    <w:p w14:paraId="6E17DF87">
      <w:pPr>
        <w:pStyle w:val="6"/>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（三）管理要求</w:t>
      </w:r>
    </w:p>
    <w:p w14:paraId="6369DE3D">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（指标2）</w:t>
      </w:r>
      <w:r>
        <w:rPr>
          <w:rFonts w:hint="eastAsia" w:ascii="宋体" w:hAnsi="宋体" w:eastAsia="宋体" w:cs="宋体"/>
          <w:color w:val="auto"/>
          <w:sz w:val="24"/>
          <w:szCs w:val="24"/>
          <w:highlight w:val="none"/>
        </w:rPr>
        <w:t>1.在保安人员工资报酬上，中标人必须保证保安员月工资不得低于福州地区最低工资标准，工资范围中包括人员工资、社（医）保费、保险费、设备费、福利、管理费、法定节假日加班费等。在管理队伍建设上，中标人应制定详细的奖惩制度，采用规范管理和人性化管理相结合的方式，运用激励机制，充分调动全体员工的工作积极性、严格考核与考勤、并实行优胜劣汰，确保管理目标安全。</w:t>
      </w:r>
    </w:p>
    <w:p w14:paraId="3FACBDD9">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（指标3）</w:t>
      </w:r>
      <w:r>
        <w:rPr>
          <w:rFonts w:hint="eastAsia" w:ascii="宋体" w:hAnsi="宋体" w:eastAsia="宋体" w:cs="宋体"/>
          <w:color w:val="auto"/>
          <w:sz w:val="24"/>
          <w:szCs w:val="24"/>
          <w:highlight w:val="none"/>
        </w:rPr>
        <w:t>2.中标人要加强对派遣的保安人员进行业务指导、管理和监督，确保保安人员在岗期间无违规、违纪事件发生，建立保安员纠察制度，派出纠察队伍定期或不定期的纠察工作。每年至少对保安员进行2次法律法规、保安专业知识、技能培训和演练（包括</w:t>
      </w:r>
      <w:r>
        <w:rPr>
          <w:rFonts w:hint="eastAsia" w:ascii="宋体" w:hAnsi="宋体" w:eastAsia="宋体" w:cs="宋体"/>
          <w:color w:val="auto"/>
          <w:sz w:val="24"/>
          <w:szCs w:val="24"/>
          <w:highlight w:val="none"/>
          <w:shd w:val="clear" w:fill="FFFFFF"/>
        </w:rPr>
        <w:t>形象素质、规范化执勤、消防灭火、防暴恐训练、</w:t>
      </w:r>
      <w:r>
        <w:rPr>
          <w:rFonts w:hint="eastAsia" w:ascii="宋体" w:hAnsi="宋体" w:eastAsia="宋体" w:cs="宋体"/>
          <w:color w:val="auto"/>
          <w:sz w:val="24"/>
          <w:szCs w:val="24"/>
          <w:highlight w:val="none"/>
        </w:rPr>
        <w:t>应急疏散、处置突发事件等），</w:t>
      </w:r>
      <w:r>
        <w:rPr>
          <w:rFonts w:hint="eastAsia" w:ascii="宋体" w:hAnsi="宋体" w:eastAsia="宋体" w:cs="宋体"/>
          <w:color w:val="auto"/>
          <w:sz w:val="24"/>
          <w:szCs w:val="24"/>
          <w:highlight w:val="none"/>
          <w:shd w:val="clear" w:fill="FFFFFF"/>
        </w:rPr>
        <w:t>并列入保安考核</w:t>
      </w:r>
      <w:r>
        <w:rPr>
          <w:rFonts w:hint="eastAsia" w:ascii="宋体" w:hAnsi="宋体" w:eastAsia="宋体" w:cs="宋体"/>
          <w:color w:val="auto"/>
          <w:sz w:val="24"/>
          <w:szCs w:val="24"/>
          <w:highlight w:val="none"/>
        </w:rPr>
        <w:t>，确保服务的优质高效。</w:t>
      </w:r>
    </w:p>
    <w:p w14:paraId="4F6DEC4A">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（指标4）</w:t>
      </w:r>
      <w:r>
        <w:rPr>
          <w:rFonts w:hint="eastAsia" w:ascii="宋体" w:hAnsi="宋体" w:eastAsia="宋体" w:cs="宋体"/>
          <w:color w:val="auto"/>
          <w:sz w:val="24"/>
          <w:szCs w:val="24"/>
          <w:highlight w:val="none"/>
        </w:rPr>
        <w:t>3.中标人要与学校加强联系沟通，制定保安员工作考核管理办法，定期对保安员进行考核。加强对保安员在岗履职情况监督、检查，及时向采购人提供保安员日常表现情况。对维护学校师生人身、财产安全等作出贡献的保安员，中标人应予以表彰奖励。对工作不称职或者违反有关管理规定的，中标人应在接到采购人书面函告通知24小时内予以调整等处理。</w:t>
      </w:r>
    </w:p>
    <w:p w14:paraId="7DAB7455">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（指标5）</w:t>
      </w:r>
      <w:r>
        <w:rPr>
          <w:rFonts w:hint="eastAsia" w:ascii="宋体" w:hAnsi="宋体" w:eastAsia="宋体" w:cs="宋体"/>
          <w:color w:val="auto"/>
          <w:sz w:val="24"/>
          <w:szCs w:val="24"/>
          <w:highlight w:val="none"/>
        </w:rPr>
        <w:t>4.中标人要</w:t>
      </w:r>
      <w:r>
        <w:rPr>
          <w:rFonts w:hint="eastAsia" w:ascii="宋体" w:hAnsi="宋体" w:eastAsia="宋体" w:cs="宋体"/>
          <w:color w:val="auto"/>
          <w:sz w:val="24"/>
          <w:szCs w:val="24"/>
          <w:highlight w:val="none"/>
          <w:shd w:val="clear" w:fill="FFFFFF"/>
        </w:rPr>
        <w:t>保持队伍稳定，</w:t>
      </w:r>
      <w:r>
        <w:rPr>
          <w:rFonts w:hint="eastAsia" w:ascii="宋体" w:hAnsi="宋体" w:eastAsia="宋体" w:cs="宋体"/>
          <w:color w:val="auto"/>
          <w:sz w:val="24"/>
          <w:szCs w:val="24"/>
          <w:highlight w:val="none"/>
        </w:rPr>
        <w:t>须如实提供保安人员上岗名单，</w:t>
      </w:r>
      <w:r>
        <w:rPr>
          <w:rFonts w:hint="eastAsia" w:ascii="宋体" w:hAnsi="宋体" w:eastAsia="宋体" w:cs="宋体"/>
          <w:color w:val="auto"/>
          <w:sz w:val="24"/>
          <w:szCs w:val="24"/>
          <w:highlight w:val="none"/>
          <w:shd w:val="clear" w:fill="FFFFFF"/>
        </w:rPr>
        <w:t>严格控制非违纪人员轮换岗比例，</w:t>
      </w:r>
      <w:r>
        <w:rPr>
          <w:rFonts w:hint="eastAsia" w:ascii="宋体" w:hAnsi="宋体" w:eastAsia="宋体" w:cs="宋体"/>
          <w:color w:val="auto"/>
          <w:sz w:val="24"/>
          <w:szCs w:val="24"/>
          <w:highlight w:val="none"/>
        </w:rPr>
        <w:t>如有变更，须书面向采购人提出申请，经采购人同意后才可变更人员名单；派遣的保安人员必须经过正规的保安职业培训，持证上岗，上岗前须提供相关人员证件复印件。采购人有权要求更换工作不认真、不负责任的管理人员，中标人应予以积极配合。</w:t>
      </w:r>
    </w:p>
    <w:p w14:paraId="46172185">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（指标6）</w:t>
      </w:r>
      <w:r>
        <w:rPr>
          <w:rFonts w:hint="eastAsia" w:ascii="宋体" w:hAnsi="宋体" w:eastAsia="宋体" w:cs="宋体"/>
          <w:color w:val="auto"/>
          <w:sz w:val="24"/>
          <w:szCs w:val="24"/>
          <w:highlight w:val="none"/>
        </w:rPr>
        <w:t>5.保安人员应聘、录用、离职等管理案例规范，手续齐全，相关资料必须报采购人备案。</w:t>
      </w:r>
      <w:r>
        <w:rPr>
          <w:rFonts w:hint="eastAsia" w:ascii="宋体" w:hAnsi="宋体" w:eastAsia="宋体" w:cs="宋体"/>
          <w:color w:val="auto"/>
          <w:sz w:val="24"/>
          <w:szCs w:val="24"/>
          <w:highlight w:val="none"/>
          <w:shd w:val="clear" w:fill="FFFFFF"/>
        </w:rPr>
        <w:t>保卫部有权要求更换工作态度不好、工作能力差的保安人员，考核把关新入职的保安。</w:t>
      </w:r>
    </w:p>
    <w:p w14:paraId="5B545120">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（指标7）</w:t>
      </w:r>
      <w:r>
        <w:rPr>
          <w:rFonts w:hint="eastAsia" w:ascii="宋体" w:hAnsi="宋体" w:eastAsia="宋体" w:cs="宋体"/>
          <w:color w:val="auto"/>
          <w:sz w:val="24"/>
          <w:szCs w:val="24"/>
          <w:highlight w:val="none"/>
          <w:shd w:val="clear" w:fill="FFFFFF"/>
        </w:rPr>
        <w:t>6.做好详细的日常执勤纪录，原始台账保存完好，以备核查。</w:t>
      </w:r>
    </w:p>
    <w:p w14:paraId="4234BB5B">
      <w:pPr>
        <w:pStyle w:val="6"/>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（四）保安人员素质和要求</w:t>
      </w:r>
    </w:p>
    <w:p w14:paraId="708BA704">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（指标8）</w:t>
      </w:r>
      <w:r>
        <w:rPr>
          <w:rFonts w:hint="eastAsia" w:ascii="宋体" w:hAnsi="宋体" w:eastAsia="宋体" w:cs="宋体"/>
          <w:color w:val="auto"/>
          <w:sz w:val="24"/>
          <w:szCs w:val="24"/>
          <w:highlight w:val="none"/>
        </w:rPr>
        <w:t>1.具有良好的政治素养，作风正派，品行良好，无劣迹行为；无违法犯罪记录，无被吊销保安员证记录，身体健康，无残疾，五官端正，未患有精神类疾病，如癫痫、精神分裂症、抑郁症等，能胜任执勤、护卫等任务。</w:t>
      </w:r>
    </w:p>
    <w:p w14:paraId="1A30B10C">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（指标9）</w:t>
      </w:r>
      <w:r>
        <w:rPr>
          <w:rFonts w:hint="eastAsia" w:ascii="宋体" w:hAnsi="宋体" w:eastAsia="宋体" w:cs="宋体"/>
          <w:color w:val="auto"/>
          <w:sz w:val="24"/>
          <w:szCs w:val="24"/>
          <w:highlight w:val="none"/>
        </w:rPr>
        <w:t>2.知法、懂法、守法、用法，依法办事，严格遵守保安从业规范，严格执行校园安全管理规定，敢于同各类违法犯罪现象做斗争。为弘扬良好正直风气，有见义勇为、抢险救灾、好人好事等突出表现或受到表彰的保安员优先录用，对队伍中存在良好风气行为的保安员积极奖励并表扬，提高保安人员日常工作的积极性和主动性，更好地为校园安全做出贡献，对潜在的违法犯罪分子起到威慑作用，减少犯罪的发生概率。</w:t>
      </w:r>
    </w:p>
    <w:p w14:paraId="4CC86801">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10）★3.本项目派遣的保安人员（100%持证上岗）须政审清白、无犯罪前科，18周岁至57周岁。其中消防监控室岗位人员须持证上岗，投标人须提供四本建（构）筑物消防员证或四级及以上消防设施操作员证复印件和投标截止时间前六个月（不含投标截止时间当月）任意一个月由投标人为其缴纳社保的证明材料，且以上人员须实际到岗。</w:t>
      </w:r>
    </w:p>
    <w:p w14:paraId="03498E87">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（指标11）</w:t>
      </w:r>
      <w:r>
        <w:rPr>
          <w:rFonts w:hint="eastAsia" w:ascii="宋体" w:hAnsi="宋体" w:eastAsia="宋体" w:cs="宋体"/>
          <w:color w:val="auto"/>
          <w:sz w:val="24"/>
          <w:szCs w:val="24"/>
          <w:highlight w:val="none"/>
        </w:rPr>
        <w:t>4.大队长和副大队长具有较强的组织协调和沟通能力，具有较高的政治素养和业务水平，责任心强，受过专门的保安业务培训。</w:t>
      </w:r>
    </w:p>
    <w:p w14:paraId="0BEB905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4.1大队长年龄在50周岁以下，具有较强的组织协调和沟通能力，负责日常与采购人及公司的上传下达工作，全面负责本项目的管理工作，制定符合本项目的管理制度、考核制度、应急预案、培训制度、装备管理等相关制度，并有序对相关应急演练、周（月）例会、队伍培训等做出计划安排，对每周保安员的工作情况、岗位情况、校内外治安情况等向采购人进行汇报，每周组织本项目其他管理人员及重点岗位人员进行工作安排及部署，建立与辖区公安机关联系、联动机制，落实完成采购人交代的各项工作。</w:t>
      </w:r>
    </w:p>
    <w:p w14:paraId="1BF9AEE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4.2副大队长年龄在50周岁以下，具有保安队伍的管理经验，听从采购人及大队长的工作安排及指挥，根据大队长作出的工作安排，有序组织开展日常队伍的培训、应急预案的演练、队员的考核及督查等，并形成记录汇报于大队长。做好日常装备设备的管理工作，对装备设备的领用、归还损坏等形成记录，并定期进行保养或更换。做好日常工作记录、岗位记录、考勤记录等相关记录的确认、收集、上报及存档。如大队长不在期间，须做好与采购的沟通协调工作。</w:t>
      </w:r>
    </w:p>
    <w:p w14:paraId="2593DFEA">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（指标12）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shd w:val="clear" w:fill="FFFFFF"/>
        </w:rPr>
        <w:t>带班班长年龄在55周岁以下，身手敏捷，身体健壮，</w:t>
      </w:r>
      <w:r>
        <w:rPr>
          <w:rFonts w:hint="eastAsia" w:ascii="宋体" w:hAnsi="宋体" w:eastAsia="宋体" w:cs="宋体"/>
          <w:color w:val="auto"/>
          <w:sz w:val="24"/>
          <w:szCs w:val="24"/>
          <w:highlight w:val="none"/>
        </w:rPr>
        <w:t>听从采购人及上级领导的工作安排及指挥，主持当班工作，坚决执行各项的工作指令，以身作则，带领和督导全班人员履行岗位职责，认真做好安全管理工作。上岗前集合好本班队员，检查着装、仪容后按要求进行交接班。如实记载本班执勤中遇到和处理过的问题，重大问题要及时向队长和采购人请示报告，并做好事件报告记录。爱岗敬业，遵纪守法，严于律已，以身作则，发挥模范带头作用。熟悉各岗位工作职责、任务和程序，掌握校内安保工作的规律及特点。了解掌握队员的思想状况，有问题及时向队长报告。及时巡查各岗位值勤情况，如有违章及时纠正</w:t>
      </w:r>
      <w:r>
        <w:rPr>
          <w:rFonts w:hint="eastAsia" w:ascii="宋体" w:hAnsi="宋体" w:eastAsia="宋体" w:cs="宋体"/>
          <w:color w:val="auto"/>
          <w:sz w:val="24"/>
          <w:szCs w:val="24"/>
          <w:highlight w:val="none"/>
          <w:shd w:val="clear" w:fill="FFFFFF"/>
        </w:rPr>
        <w:t>，</w:t>
      </w:r>
      <w:r>
        <w:rPr>
          <w:rFonts w:hint="eastAsia" w:ascii="宋体" w:hAnsi="宋体" w:eastAsia="宋体" w:cs="宋体"/>
          <w:color w:val="auto"/>
          <w:sz w:val="24"/>
          <w:szCs w:val="24"/>
          <w:highlight w:val="none"/>
        </w:rPr>
        <w:t>积极完成各项工作任务。</w:t>
      </w:r>
    </w:p>
    <w:p w14:paraId="082CBF15">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（指标13）</w:t>
      </w:r>
      <w:r>
        <w:rPr>
          <w:rFonts w:hint="eastAsia" w:ascii="宋体" w:hAnsi="宋体" w:eastAsia="宋体" w:cs="宋体"/>
          <w:b/>
          <w:color w:val="auto"/>
          <w:sz w:val="24"/>
          <w:szCs w:val="24"/>
          <w:highlight w:val="none"/>
          <w:shd w:val="clear" w:fill="FFFFFF"/>
        </w:rPr>
        <w:t>6.应急处置队伍队员年龄在55周岁以下，具有不少于4名</w:t>
      </w:r>
      <w:r>
        <w:rPr>
          <w:rFonts w:hint="eastAsia" w:ascii="宋体" w:hAnsi="宋体" w:eastAsia="宋体" w:cs="宋体"/>
          <w:b/>
          <w:color w:val="auto"/>
          <w:sz w:val="24"/>
          <w:szCs w:val="24"/>
          <w:highlight w:val="none"/>
        </w:rPr>
        <w:t>持有C级及以上机动车驾驶证的驾驶人员</w:t>
      </w:r>
      <w:r>
        <w:rPr>
          <w:rFonts w:hint="eastAsia" w:ascii="宋体" w:hAnsi="宋体" w:eastAsia="宋体" w:cs="宋体"/>
          <w:b/>
          <w:color w:val="auto"/>
          <w:sz w:val="24"/>
          <w:szCs w:val="24"/>
          <w:highlight w:val="none"/>
          <w:shd w:val="clear" w:fill="FFFFFF"/>
        </w:rPr>
        <w:t>，身体健壮，须提供相关人员有效的机动车驾驶证复印件和</w:t>
      </w:r>
      <w:r>
        <w:rPr>
          <w:rFonts w:hint="eastAsia" w:ascii="宋体" w:hAnsi="宋体" w:eastAsia="宋体" w:cs="宋体"/>
          <w:b/>
          <w:color w:val="auto"/>
          <w:sz w:val="24"/>
          <w:szCs w:val="24"/>
          <w:highlight w:val="none"/>
        </w:rPr>
        <w:t>投标截止时间前六个月（不含投标截止时间当月）任意一个月由投标人为其缴纳社保的证明材料</w:t>
      </w:r>
      <w:r>
        <w:rPr>
          <w:rFonts w:hint="eastAsia" w:ascii="宋体" w:hAnsi="宋体" w:eastAsia="宋体" w:cs="宋体"/>
          <w:b/>
          <w:color w:val="auto"/>
          <w:sz w:val="24"/>
          <w:szCs w:val="24"/>
          <w:highlight w:val="none"/>
          <w:shd w:val="clear" w:fill="FFFFFF"/>
        </w:rPr>
        <w:t>。</w:t>
      </w:r>
    </w:p>
    <w:p w14:paraId="1FC10E92">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（指标14）</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shd w:val="clear" w:fill="FFFFFF"/>
        </w:rPr>
        <w:t>校园安防监控人员年龄在55周岁以下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fill="FFFFFF"/>
        </w:rPr>
        <w:t>熟悉计算机、监控等设备的使用及操作，负责监控室各监控屏幕的监视工作，做好监控室内的环境卫生工作及日常设备维护保养工作。在岗期间发现异常情况和可疑人员及时报告，并通知相应岗位人员到现场查看处理。发现火警或其他异常情况立即报告并按报警程序报警，</w:t>
      </w:r>
      <w:r>
        <w:rPr>
          <w:rFonts w:hint="eastAsia" w:ascii="宋体" w:hAnsi="宋体" w:eastAsia="宋体" w:cs="宋体"/>
          <w:color w:val="auto"/>
          <w:sz w:val="24"/>
          <w:szCs w:val="24"/>
          <w:highlight w:val="none"/>
        </w:rPr>
        <w:t>积极完成各项工作任务。</w:t>
      </w:r>
    </w:p>
    <w:p w14:paraId="097044C0">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（指标15）</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shd w:val="clear" w:fill="FFFFFF"/>
        </w:rPr>
        <w:t>.巡逻队伍队员年龄在55周岁以下，身手敏捷，身体健壮</w:t>
      </w:r>
      <w:r>
        <w:rPr>
          <w:rFonts w:hint="eastAsia" w:ascii="宋体" w:hAnsi="宋体" w:eastAsia="宋体" w:cs="宋体"/>
          <w:color w:val="auto"/>
          <w:sz w:val="24"/>
          <w:szCs w:val="24"/>
          <w:highlight w:val="none"/>
        </w:rPr>
        <w:t>听从采购人及上级领导的工作安排及指挥，负责巡逻区域内的治安、消防管理。重点维护校园交通秩序，劝导机动车辆违规停放。节假日等非上班时间做好重点部位巡查。检查巡逻区域是否存在安全隐患，发现安全隐患及时报告。发现可疑人员及现象要严加盘查、及时报告处理。配合完成新生开学、毕业生离校等校内重大活动的安全保卫工作</w:t>
      </w:r>
      <w:r>
        <w:rPr>
          <w:rFonts w:hint="eastAsia" w:ascii="宋体" w:hAnsi="宋体" w:eastAsia="宋体" w:cs="宋体"/>
          <w:color w:val="auto"/>
          <w:sz w:val="24"/>
          <w:szCs w:val="24"/>
          <w:highlight w:val="none"/>
          <w:shd w:val="clear" w:fill="FFFFFF"/>
        </w:rPr>
        <w:t>，</w:t>
      </w:r>
      <w:r>
        <w:rPr>
          <w:rFonts w:hint="eastAsia" w:ascii="宋体" w:hAnsi="宋体" w:eastAsia="宋体" w:cs="宋体"/>
          <w:color w:val="auto"/>
          <w:sz w:val="24"/>
          <w:szCs w:val="24"/>
          <w:highlight w:val="none"/>
        </w:rPr>
        <w:t>积极完成各项工作任务。</w:t>
      </w:r>
    </w:p>
    <w:p w14:paraId="6426B5FA">
      <w:pPr>
        <w:pStyle w:val="6"/>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（五）保安岗位职责要求</w:t>
      </w:r>
    </w:p>
    <w:p w14:paraId="5675ADD8">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（指标16）</w:t>
      </w:r>
      <w:r>
        <w:rPr>
          <w:rFonts w:hint="eastAsia" w:ascii="宋体" w:hAnsi="宋体" w:eastAsia="宋体" w:cs="宋体"/>
          <w:color w:val="auto"/>
          <w:sz w:val="24"/>
          <w:szCs w:val="24"/>
          <w:highlight w:val="none"/>
        </w:rPr>
        <w:t>1.保安员要有强烈的责任心，良好的服务意识和安全意识，礼貌待人，对工作认真负责，能坚持原则，秉公办事、不徇私情、保持高度的警觉性，敢于挺身而出制止犯罪活动及违法乱纪行为。</w:t>
      </w:r>
    </w:p>
    <w:p w14:paraId="24A12922">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（指标17）</w:t>
      </w:r>
      <w:r>
        <w:rPr>
          <w:rFonts w:hint="eastAsia" w:ascii="宋体" w:hAnsi="宋体" w:eastAsia="宋体" w:cs="宋体"/>
          <w:color w:val="auto"/>
          <w:sz w:val="24"/>
          <w:szCs w:val="24"/>
          <w:highlight w:val="none"/>
        </w:rPr>
        <w:t>2.保安员上班着装统一制式保安服、标志和佩戴保安员执勤证，严格履行好岗位职责，不做与保安服务无关的事情，遵守采购单位的各项规章制度，爱护公物，有重要情况妥善处置并及时上报派驻学校、中标人，做到不迟报、漏报、隐瞒不报，认真填写值班记录，做好交接班，严格遵守福建省公安机关协勤人员八条纪律。</w:t>
      </w:r>
    </w:p>
    <w:p w14:paraId="4B3B6CC2">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（指标18）</w:t>
      </w:r>
      <w:r>
        <w:rPr>
          <w:rFonts w:hint="eastAsia" w:ascii="宋体" w:hAnsi="宋体" w:eastAsia="宋体" w:cs="宋体"/>
          <w:color w:val="auto"/>
          <w:sz w:val="24"/>
          <w:szCs w:val="24"/>
          <w:highlight w:val="none"/>
        </w:rPr>
        <w:t>3.保安人员仪表整洁、业务操作规范；保持岗位卫生整洁；做到“六不”：不擅离岗位，不打瞌睡，不闲聊嬉闹，不打牌下棋玩手机，不喝酒吸烟，不干私活。</w:t>
      </w:r>
    </w:p>
    <w:p w14:paraId="6A046948">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（指标19）</w:t>
      </w:r>
      <w:r>
        <w:rPr>
          <w:rFonts w:hint="eastAsia" w:ascii="宋体" w:hAnsi="宋体" w:eastAsia="宋体" w:cs="宋体"/>
          <w:color w:val="auto"/>
          <w:sz w:val="24"/>
          <w:szCs w:val="24"/>
          <w:highlight w:val="none"/>
        </w:rPr>
        <w:t>4.文明执勤，依法办事，严格管理，以服务师生为本，主动热情，处理问题高度警惕、有理有节，不与师生发生争吵，杜绝与师生发生冲突，严禁出手伤及师生人身安全。</w:t>
      </w:r>
    </w:p>
    <w:p w14:paraId="59F81983">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（指标20）</w:t>
      </w:r>
      <w:r>
        <w:rPr>
          <w:rFonts w:hint="eastAsia" w:ascii="宋体" w:hAnsi="宋体" w:eastAsia="宋体" w:cs="宋体"/>
          <w:color w:val="auto"/>
          <w:sz w:val="24"/>
          <w:szCs w:val="24"/>
          <w:highlight w:val="none"/>
        </w:rPr>
        <w:t>5.做好服务区域内的守卫、巡逻、防火、防盗、防破坏、防爆炸、防治安案件等工作，做到及时发现隐患、及时报告，并积极配合有关部门处置现场。</w:t>
      </w:r>
    </w:p>
    <w:p w14:paraId="50E2BE0D">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（指标21）</w:t>
      </w:r>
      <w:r>
        <w:rPr>
          <w:rFonts w:hint="eastAsia" w:ascii="宋体" w:hAnsi="宋体" w:eastAsia="宋体" w:cs="宋体"/>
          <w:color w:val="auto"/>
          <w:sz w:val="24"/>
          <w:szCs w:val="24"/>
          <w:highlight w:val="none"/>
        </w:rPr>
        <w:t>6.检查重点防火部位，检查消防设施设备是否在位、完好、有效、建立消防日检表。遇突发事件及火灾，应在第一时间上报采购人，且迅速组织安保、消防、医疗救助人员进行疏散、抢救，将事故控制在萌芽状态。</w:t>
      </w:r>
    </w:p>
    <w:p w14:paraId="58CF0286">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（指标22）</w:t>
      </w:r>
      <w:r>
        <w:rPr>
          <w:rFonts w:hint="eastAsia" w:ascii="宋体" w:hAnsi="宋体" w:eastAsia="宋体" w:cs="宋体"/>
          <w:color w:val="auto"/>
          <w:sz w:val="24"/>
          <w:szCs w:val="24"/>
          <w:highlight w:val="none"/>
        </w:rPr>
        <w:t>7.建立岗位工作日志，作好记录，防止外来车辆、人员未经许可进入校园，熟悉来访人员情况，有效判断进出人员状况。</w:t>
      </w:r>
    </w:p>
    <w:p w14:paraId="2134AF2D">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（指标23）</w:t>
      </w:r>
      <w:r>
        <w:rPr>
          <w:rFonts w:hint="eastAsia" w:ascii="宋体" w:hAnsi="宋体" w:eastAsia="宋体" w:cs="宋体"/>
          <w:color w:val="auto"/>
          <w:sz w:val="24"/>
          <w:szCs w:val="24"/>
          <w:highlight w:val="none"/>
        </w:rPr>
        <w:t>8.定时定点巡视采购人指定区域，如各楼层、主干道、通道、停车场、广场、校园周边等。夜间巡更应遵循“仔细、认真、勤奋、机警”的宗旨，如发现异常情况，立即上报。</w:t>
      </w:r>
    </w:p>
    <w:p w14:paraId="560C5E54">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（指标24）</w:t>
      </w:r>
      <w:r>
        <w:rPr>
          <w:rFonts w:hint="eastAsia" w:ascii="宋体" w:hAnsi="宋体" w:eastAsia="宋体" w:cs="宋体"/>
          <w:color w:val="auto"/>
          <w:sz w:val="24"/>
          <w:szCs w:val="24"/>
          <w:highlight w:val="none"/>
        </w:rPr>
        <w:t>9.监控中心和消控中心由保安人员值班，对于监控中心和消控中心的所有钥匙应严格管理和控制，禁止外来人员进入监控中心和消控中心，配合管理人员对监控设施和消防设备的检查维修。</w:t>
      </w:r>
    </w:p>
    <w:p w14:paraId="3DB6F314">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（指标25）</w:t>
      </w:r>
      <w:r>
        <w:rPr>
          <w:rFonts w:hint="eastAsia" w:ascii="宋体" w:hAnsi="宋体" w:eastAsia="宋体" w:cs="宋体"/>
          <w:color w:val="auto"/>
          <w:sz w:val="24"/>
          <w:szCs w:val="24"/>
          <w:highlight w:val="none"/>
        </w:rPr>
        <w:t>10.维护校园区域交通秩序，指挥和疏导进出车辆、非机动车和行人有序通行。</w:t>
      </w:r>
    </w:p>
    <w:p w14:paraId="1D56E4BF">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（指标26）</w:t>
      </w:r>
      <w:r>
        <w:rPr>
          <w:rFonts w:hint="eastAsia" w:ascii="宋体" w:hAnsi="宋体" w:eastAsia="宋体" w:cs="宋体"/>
          <w:color w:val="auto"/>
          <w:sz w:val="24"/>
          <w:szCs w:val="24"/>
          <w:highlight w:val="none"/>
        </w:rPr>
        <w:t>11.派遣的保安人员在岗履行应尽工作职责，不得兼职，如有发现，采购人有权要求中标人更换保安人员，并扣除该人员当月保安服务费。</w:t>
      </w:r>
    </w:p>
    <w:p w14:paraId="130DFE82">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（指标27）</w:t>
      </w:r>
      <w:r>
        <w:rPr>
          <w:rFonts w:hint="eastAsia" w:ascii="宋体" w:hAnsi="宋体" w:eastAsia="宋体" w:cs="宋体"/>
          <w:color w:val="auto"/>
          <w:sz w:val="24"/>
          <w:szCs w:val="24"/>
          <w:highlight w:val="none"/>
        </w:rPr>
        <w:t>12.如遇重大活动或解决重大事故、险情，所属保安人员应延时工作。特殊情况下，休息的保安人员应无条件按采购人要求接受加班，直至圆满完成。</w:t>
      </w:r>
    </w:p>
    <w:p w14:paraId="4F7CE665">
      <w:pPr>
        <w:pStyle w:val="6"/>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（六）器材要求</w:t>
      </w:r>
    </w:p>
    <w:p w14:paraId="2EDA9FF3">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（指标28）</w:t>
      </w:r>
      <w:r>
        <w:rPr>
          <w:rFonts w:hint="eastAsia" w:ascii="宋体" w:hAnsi="宋体" w:eastAsia="宋体" w:cs="宋体"/>
          <w:color w:val="auto"/>
          <w:sz w:val="24"/>
          <w:szCs w:val="24"/>
          <w:highlight w:val="none"/>
        </w:rPr>
        <w:t>1.所有安防设备、消防设施必须调试、检查、保养，以确保所有设施、设备处在最佳状态。</w:t>
      </w:r>
    </w:p>
    <w:p w14:paraId="1992408A">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（指标29）</w:t>
      </w:r>
      <w:r>
        <w:rPr>
          <w:rFonts w:hint="eastAsia" w:ascii="宋体" w:hAnsi="宋体" w:eastAsia="宋体" w:cs="宋体"/>
          <w:color w:val="auto"/>
          <w:sz w:val="24"/>
          <w:szCs w:val="24"/>
          <w:highlight w:val="none"/>
        </w:rPr>
        <w:t>2.采购人器材交由中标人使用前，必须需经双方检验认可，登记造册。</w:t>
      </w:r>
    </w:p>
    <w:p w14:paraId="1CC69EAE">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（指标30）</w:t>
      </w:r>
      <w:r>
        <w:rPr>
          <w:rFonts w:hint="eastAsia" w:ascii="宋体" w:hAnsi="宋体" w:eastAsia="宋体" w:cs="宋体"/>
          <w:color w:val="auto"/>
          <w:sz w:val="24"/>
          <w:szCs w:val="24"/>
          <w:highlight w:val="none"/>
        </w:rPr>
        <w:t>3.中标人应保证采购人区域的安全服务和消防设施得到及时检查和保养，并做出计划表告知采购人，全面了解掌握采购人的安保设施和主要设备基本情况。</w:t>
      </w:r>
    </w:p>
    <w:p w14:paraId="38AEF9FA">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（指标31）</w:t>
      </w:r>
      <w:r>
        <w:rPr>
          <w:rFonts w:hint="eastAsia" w:ascii="宋体" w:hAnsi="宋体" w:eastAsia="宋体" w:cs="宋体"/>
          <w:color w:val="auto"/>
          <w:sz w:val="24"/>
          <w:szCs w:val="24"/>
          <w:highlight w:val="none"/>
        </w:rPr>
        <w:t>4.中标人应爱护采购人财物和设施设备，如因中标人责任造成采购人管理的财物或设施、设备损失，损坏的，应由中标人全额赔偿。</w:t>
      </w:r>
    </w:p>
    <w:p w14:paraId="60D5FFE0">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（指标32）</w:t>
      </w:r>
      <w:r>
        <w:rPr>
          <w:rFonts w:hint="eastAsia" w:ascii="宋体" w:hAnsi="宋体" w:eastAsia="宋体" w:cs="宋体"/>
          <w:color w:val="auto"/>
          <w:sz w:val="24"/>
          <w:szCs w:val="24"/>
          <w:highlight w:val="none"/>
        </w:rPr>
        <w:t>5.未经采购人书面同意，中标人不得将各类安保装备挪作他用或外借等。</w:t>
      </w:r>
    </w:p>
    <w:p w14:paraId="1926A73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6.为确保校内行车安全，须配置校园专用观光四轮电动巡逻车，并由专职人员管理及使用，专职人员须熟悉车辆操作，并按校内交通规定驾驶，不得超速或乱停乱放影响校内交通，专职操作人员须具有《特种设备安全管理和作业人员》场(厂)内专用机动车辆作业证（代号N2）。</w:t>
      </w:r>
    </w:p>
    <w:p w14:paraId="345DB6D1">
      <w:pPr>
        <w:pStyle w:val="6"/>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(七）中标人的管理要求</w:t>
      </w:r>
    </w:p>
    <w:p w14:paraId="3BF8B5F0">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（指标33）</w:t>
      </w:r>
      <w:r>
        <w:rPr>
          <w:rFonts w:hint="eastAsia" w:ascii="宋体" w:hAnsi="宋体" w:eastAsia="宋体" w:cs="宋体"/>
          <w:color w:val="auto"/>
          <w:sz w:val="24"/>
          <w:szCs w:val="24"/>
          <w:highlight w:val="none"/>
        </w:rPr>
        <w:t>1.中标人应对其保安人员进行高效规范的管理。根据双方合同规定的职位及人数向采购人派驻足够的保安人员，提供合同规定的服务。</w:t>
      </w:r>
    </w:p>
    <w:p w14:paraId="1CD34F3D">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（指标34）</w:t>
      </w:r>
      <w:r>
        <w:rPr>
          <w:rFonts w:hint="eastAsia" w:ascii="宋体" w:hAnsi="宋体" w:eastAsia="宋体" w:cs="宋体"/>
          <w:color w:val="auto"/>
          <w:sz w:val="24"/>
          <w:szCs w:val="24"/>
          <w:highlight w:val="none"/>
        </w:rPr>
        <w:t>2.所有保安人员的岗位配备，由中标人负责提供详细说明计划，必须以报告形式告知采购人，中标人所派遣的保安人员必须经过采购人认定后才能进场。</w:t>
      </w:r>
    </w:p>
    <w:p w14:paraId="193FCB98">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（指标35）</w:t>
      </w:r>
      <w:r>
        <w:rPr>
          <w:rFonts w:hint="eastAsia" w:ascii="宋体" w:hAnsi="宋体" w:eastAsia="宋体" w:cs="宋体"/>
          <w:color w:val="auto"/>
          <w:sz w:val="24"/>
          <w:szCs w:val="24"/>
          <w:highlight w:val="none"/>
        </w:rPr>
        <w:t>3.中标人在正式进场前7天，需将派遣保安人员的资料提交采购人报备，包括保安人员的通讯方法和联络地址，无特殊原因不得擅自改动，确需改动，要征求采购人确认后方可进行。</w:t>
      </w:r>
    </w:p>
    <w:p w14:paraId="0DA64B28">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（指标36）</w:t>
      </w:r>
      <w:r>
        <w:rPr>
          <w:rFonts w:hint="eastAsia" w:ascii="宋体" w:hAnsi="宋体" w:eastAsia="宋体" w:cs="宋体"/>
          <w:color w:val="auto"/>
          <w:sz w:val="24"/>
          <w:szCs w:val="24"/>
          <w:highlight w:val="none"/>
        </w:rPr>
        <w:t>4.未经采购人通知和同意，中标人不得随意更改上班作息时间和调换增减所属保安人员。所有规章制度、操作流程如需更改，须报经采购人审批后方可实施。</w:t>
      </w:r>
    </w:p>
    <w:p w14:paraId="7B5C62FE">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（指标37）</w:t>
      </w:r>
      <w:r>
        <w:rPr>
          <w:rFonts w:hint="eastAsia" w:ascii="宋体" w:hAnsi="宋体" w:eastAsia="宋体" w:cs="宋体"/>
          <w:color w:val="auto"/>
          <w:sz w:val="24"/>
          <w:szCs w:val="24"/>
          <w:highlight w:val="none"/>
        </w:rPr>
        <w:t>5.中标人保安人员如有任何假期，中标人必须保证各岗位应满足状态，递补休假的保安人员必须是驻校保安人员的一员。中标人的保安人员公假、事假、病假以及所有假期劳动争议、纠纷都由中标人负责。</w:t>
      </w:r>
    </w:p>
    <w:p w14:paraId="53F7A01A">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（指标38）</w:t>
      </w:r>
      <w:r>
        <w:rPr>
          <w:rFonts w:hint="eastAsia" w:ascii="宋体" w:hAnsi="宋体" w:eastAsia="宋体" w:cs="宋体"/>
          <w:color w:val="auto"/>
          <w:sz w:val="24"/>
          <w:szCs w:val="24"/>
          <w:highlight w:val="none"/>
        </w:rPr>
        <w:t>6.采购人对中标人保安人员每月考核一次，根据考评结果有比例的向中标人发放相关费用。</w:t>
      </w:r>
    </w:p>
    <w:p w14:paraId="4959BF87">
      <w:pPr>
        <w:pStyle w:val="6"/>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★（八）合同管理要求（此项包含以下第1至11项所有的内容）</w:t>
      </w:r>
    </w:p>
    <w:p w14:paraId="1B82356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1.保安服务管理期间内，采购人有权根据政府管理需要提前增加或收回部分合同委托管理的区域，中标人应在一个月内完成入场或清场工作。</w:t>
      </w:r>
    </w:p>
    <w:p w14:paraId="604BA49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2.保安服务管理期间，将保安服务转包他人、出现重大问题，中标人将解除保安服务合同。</w:t>
      </w:r>
    </w:p>
    <w:p w14:paraId="5A17F78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3.采购人将对保安服务质量进行全程监督和管理，中标人日常管理工作不到位、不达标或有违约现象，采购人将依据合同约定，作出相应的违约处理与处罚。</w:t>
      </w:r>
    </w:p>
    <w:p w14:paraId="1B009A3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管理不当发生重大事故：凡属中标人管理不当发生重大事故，如：人事伤亡、设施损坏等，采购人可酌减当月酬金。如系重大责任事故，采购人有权根据合同向中标人索赔并追究法律责任。凡管理混乱，达不到服务要求，在得到采购人通知整改一个月仍无明显改观，则采购人有权终止合同。</w:t>
      </w:r>
    </w:p>
    <w:p w14:paraId="01DEF5F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5.保安人员在岗工作期间，发生自身的人身伤害、伤亡，均由中标人负责处理并承担经济和道义上的责任，采购人不承担任何责任。</w:t>
      </w:r>
    </w:p>
    <w:p w14:paraId="1EB7EB8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违反国家相关法规，与聘用人员发生纠纷，均由中标人负责调解与处理，采购人不承担任何责任。中标人在保安服务中违反国家相关法规或保安行业规范，因过失造成人员伤亡的，均由中标人负责处理并承担法律责任和道义责任，采购人不承担任何责任。</w:t>
      </w:r>
    </w:p>
    <w:p w14:paraId="799A611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安员与学校之外的第三方发生的任何侵权或违约纠纷，应由中标人独自进行处理，涉及学校师生员工的，保卫部可以协调配合处理。保卫部不与保安员发生任何涉及个人的权益纠纷。保安员与采购人在因履行合同过程中所发生的各类纠纷，均视为中标人的行为，由保卫部、中标人按照相关法律、法规及双方合同约定进行处理。</w:t>
      </w:r>
    </w:p>
    <w:p w14:paraId="4EC4A2B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8.发生死亡安全事故且是由保安服务不到位造成的，除按国家有关安全管理规定承担相应法律责任及行政主管部门的处罚外，当月考核不合格，不予发放保安服务费；采购人有权解除合同，没收履约保证金。</w:t>
      </w:r>
    </w:p>
    <w:p w14:paraId="4E8D2B9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9.中标人必须爱护采购人的各种设备和设施，因故意或过失，或者管理不善，人为损坏的需承担修复、赔偿责任。如中标人不及时履行上述修复、赔偿责任，学校有权在中标人的服务费用中扣除。</w:t>
      </w:r>
    </w:p>
    <w:p w14:paraId="2CCD6D1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10.保安人员在工作期间发生违规受处罚累计达三项及以上的或者采购人对保安人员的服务不满意或认为保安人员不能胜任本职岗位的，采购人有权提出更换有关人员，中标人应在三个工作日内予以更换。</w:t>
      </w:r>
    </w:p>
    <w:p w14:paraId="6613983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11.中标人违反招投标文件约定且未及时整改的或经整改无效的，采购人有权单方面解除合同，自采购人发出通知到达之日起合同解除，若中标人拒绝签收，采购人按中标人住所地邮寄发出通知并在三日后生效。</w:t>
      </w:r>
    </w:p>
    <w:p w14:paraId="5E4FB383">
      <w:pPr>
        <w:pStyle w:val="6"/>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（九）服务内容</w:t>
      </w:r>
    </w:p>
    <w:p w14:paraId="3E7B3B1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1.大门保安</w:t>
      </w:r>
    </w:p>
    <w:p w14:paraId="51B4BE87">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（指标39）</w:t>
      </w:r>
      <w:r>
        <w:rPr>
          <w:rFonts w:hint="eastAsia" w:ascii="宋体" w:hAnsi="宋体" w:eastAsia="宋体" w:cs="宋体"/>
          <w:color w:val="auto"/>
          <w:sz w:val="24"/>
          <w:szCs w:val="24"/>
          <w:highlight w:val="none"/>
        </w:rPr>
        <w:t>（1）实行24小时工作制，学校各门岗，每天早上7:30--9:30、下午16:30--17:30实行保安立岗制，要求五官端正、着装整齐、礼貌待人、严肃认真。</w:t>
      </w:r>
    </w:p>
    <w:p w14:paraId="60A0A3FA">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（指标40）</w:t>
      </w:r>
      <w:r>
        <w:rPr>
          <w:rFonts w:hint="eastAsia" w:ascii="宋体" w:hAnsi="宋体" w:eastAsia="宋体" w:cs="宋体"/>
          <w:color w:val="auto"/>
          <w:sz w:val="24"/>
          <w:szCs w:val="24"/>
          <w:highlight w:val="none"/>
        </w:rPr>
        <w:t>（2）检查进入学校的校外人员，询问进入学校的理由，并办理登记手续，经检查无误后准予进入校园。</w:t>
      </w:r>
    </w:p>
    <w:p w14:paraId="51FA45E3">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（指标41）</w:t>
      </w:r>
      <w:r>
        <w:rPr>
          <w:rFonts w:hint="eastAsia" w:ascii="宋体" w:hAnsi="宋体" w:eastAsia="宋体" w:cs="宋体"/>
          <w:color w:val="auto"/>
          <w:sz w:val="24"/>
          <w:szCs w:val="24"/>
          <w:highlight w:val="none"/>
        </w:rPr>
        <w:t>（3）检查进入校园的各种车辆，对校内车辆凭保卫部制发的车辆通行证或门禁系统从各个大门进入校园。</w:t>
      </w:r>
    </w:p>
    <w:p w14:paraId="0961DA32">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（指标42）</w:t>
      </w:r>
      <w:r>
        <w:rPr>
          <w:rFonts w:hint="eastAsia" w:ascii="宋体" w:hAnsi="宋体" w:eastAsia="宋体" w:cs="宋体"/>
          <w:color w:val="auto"/>
          <w:sz w:val="24"/>
          <w:szCs w:val="24"/>
          <w:highlight w:val="none"/>
        </w:rPr>
        <w:t>（4）施工车辆及有载重货物车辆统一由南区科技路大门、北区西大门进入校园，检查车辆所载的货物，要认真检查登记、防止危险物品进入校园；校内物资、设备运出学校必须凭所属部门出具的证明材料，经检查无误后，办理登记手续方可准予放行。</w:t>
      </w:r>
    </w:p>
    <w:p w14:paraId="6B4E8FB1">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（指标43）</w:t>
      </w:r>
      <w:r>
        <w:rPr>
          <w:rFonts w:hint="eastAsia" w:ascii="宋体" w:hAnsi="宋体" w:eastAsia="宋体" w:cs="宋体"/>
          <w:color w:val="auto"/>
          <w:sz w:val="24"/>
          <w:szCs w:val="24"/>
          <w:highlight w:val="none"/>
        </w:rPr>
        <w:t>（5）对各个校门口周围、校门口广场的道路交通管理及安全秩序、机动车和非机动车的停放进行管理，确保校门口区域出入畅通。</w:t>
      </w:r>
    </w:p>
    <w:p w14:paraId="1691ACB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2.巡逻保安</w:t>
      </w:r>
    </w:p>
    <w:p w14:paraId="6E70BE31">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（指标44）</w:t>
      </w:r>
      <w:r>
        <w:rPr>
          <w:rFonts w:hint="eastAsia" w:ascii="宋体" w:hAnsi="宋体" w:eastAsia="宋体" w:cs="宋体"/>
          <w:color w:val="auto"/>
          <w:sz w:val="24"/>
          <w:szCs w:val="24"/>
          <w:highlight w:val="none"/>
        </w:rPr>
        <w:t>（1）实行24小时工作制，要着装整齐，列队进行巡逻或乘四轮电瓶车、二轮摩托车巡逻，每小时至少到预设的治安、交通等重点部位进行巡逻、巡查六次次并做好巡查记录。</w:t>
      </w:r>
    </w:p>
    <w:p w14:paraId="28A23094">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（指标45）</w:t>
      </w:r>
      <w:r>
        <w:rPr>
          <w:rFonts w:hint="eastAsia" w:ascii="宋体" w:hAnsi="宋体" w:eastAsia="宋体" w:cs="宋体"/>
          <w:color w:val="auto"/>
          <w:sz w:val="24"/>
          <w:szCs w:val="24"/>
          <w:highlight w:val="none"/>
        </w:rPr>
        <w:t>（2）防止各类不利于校园治安秩序特别是盗窃、火灾、打架斗殴等案件、事故和危害校园稳定的群体事件、暴恐行为的发生，一旦发现立即处置与报告。</w:t>
      </w:r>
    </w:p>
    <w:p w14:paraId="5D45A77B">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（指标46）</w:t>
      </w:r>
      <w:r>
        <w:rPr>
          <w:rFonts w:hint="eastAsia" w:ascii="宋体" w:hAnsi="宋体" w:eastAsia="宋体" w:cs="宋体"/>
          <w:color w:val="auto"/>
          <w:sz w:val="24"/>
          <w:szCs w:val="24"/>
          <w:highlight w:val="none"/>
        </w:rPr>
        <w:t>（3）确保校园道路交通畅通，机动车和非机动车停放有序，制止机动车在校园道路超速行驶与飙车行为，确保校园道路交通安全。</w:t>
      </w:r>
    </w:p>
    <w:p w14:paraId="0F2E594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3.监控室保安</w:t>
      </w:r>
    </w:p>
    <w:p w14:paraId="3953A414">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（指标47）</w:t>
      </w:r>
      <w:r>
        <w:rPr>
          <w:rFonts w:hint="eastAsia" w:ascii="宋体" w:hAnsi="宋体" w:eastAsia="宋体" w:cs="宋体"/>
          <w:color w:val="auto"/>
          <w:sz w:val="24"/>
          <w:szCs w:val="24"/>
          <w:highlight w:val="none"/>
        </w:rPr>
        <w:t>（1）实行24小时工作制，责任心强，会操作电脑，反应灵敏，善于捕捉、发现、分析可疑目标。</w:t>
      </w:r>
    </w:p>
    <w:p w14:paraId="5C2C3CB0">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（指标48）</w:t>
      </w:r>
      <w:r>
        <w:rPr>
          <w:rFonts w:hint="eastAsia" w:ascii="宋体" w:hAnsi="宋体" w:eastAsia="宋体" w:cs="宋体"/>
          <w:color w:val="auto"/>
          <w:sz w:val="24"/>
          <w:szCs w:val="24"/>
          <w:highlight w:val="none"/>
        </w:rPr>
        <w:t>（2）发现可疑目标，能迅速、及时、准确地联动巡逻保安赶到现场处置，并上报主管部门。</w:t>
      </w:r>
    </w:p>
    <w:p w14:paraId="1E3AB0BC">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（指标49）</w:t>
      </w:r>
      <w:r>
        <w:rPr>
          <w:rFonts w:hint="eastAsia" w:ascii="宋体" w:hAnsi="宋体" w:eastAsia="宋体" w:cs="宋体"/>
          <w:color w:val="auto"/>
          <w:sz w:val="24"/>
          <w:szCs w:val="24"/>
          <w:highlight w:val="none"/>
        </w:rPr>
        <w:t>（3）做好监控查询记录，及时报告监控设备的运行情况，确保设备处于良好运转状态。</w:t>
      </w:r>
    </w:p>
    <w:p w14:paraId="4B23D902">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（指标50）</w:t>
      </w:r>
      <w:r>
        <w:rPr>
          <w:rFonts w:hint="eastAsia" w:ascii="宋体" w:hAnsi="宋体" w:eastAsia="宋体" w:cs="宋体"/>
          <w:color w:val="auto"/>
          <w:sz w:val="24"/>
          <w:szCs w:val="24"/>
          <w:highlight w:val="none"/>
        </w:rPr>
        <w:t>（4）确保监控室室内卫生清洁，物品摆放整齐，禁止无关人员进入。</w:t>
      </w:r>
    </w:p>
    <w:p w14:paraId="6E3960E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4.消控室保安</w:t>
      </w:r>
    </w:p>
    <w:p w14:paraId="389212C2">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（指标51）</w:t>
      </w:r>
      <w:r>
        <w:rPr>
          <w:rFonts w:hint="eastAsia" w:ascii="宋体" w:hAnsi="宋体" w:eastAsia="宋体" w:cs="宋体"/>
          <w:color w:val="auto"/>
          <w:sz w:val="24"/>
          <w:szCs w:val="24"/>
          <w:highlight w:val="none"/>
        </w:rPr>
        <w:t>（1）实行24小时工作制，负责校园消防安全，责任心强，懂得操作消防设备系统。</w:t>
      </w:r>
    </w:p>
    <w:p w14:paraId="3F846207">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（指标52）</w:t>
      </w:r>
      <w:r>
        <w:rPr>
          <w:rFonts w:hint="eastAsia" w:ascii="宋体" w:hAnsi="宋体" w:eastAsia="宋体" w:cs="宋体"/>
          <w:color w:val="auto"/>
          <w:sz w:val="24"/>
          <w:szCs w:val="24"/>
          <w:highlight w:val="none"/>
        </w:rPr>
        <w:t>（2）发现系统警报，能迅速、及时、准确地联动巡逻保安赶到现场处置并上报主管部门。</w:t>
      </w:r>
    </w:p>
    <w:p w14:paraId="484D1426">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（指标53）</w:t>
      </w:r>
      <w:r>
        <w:rPr>
          <w:rFonts w:hint="eastAsia" w:ascii="宋体" w:hAnsi="宋体" w:eastAsia="宋体" w:cs="宋体"/>
          <w:color w:val="auto"/>
          <w:sz w:val="24"/>
          <w:szCs w:val="24"/>
          <w:highlight w:val="none"/>
        </w:rPr>
        <w:t>（3）做好检测记录，及时报告监控设备的运行情况，确保设备处于良好运转状态。</w:t>
      </w:r>
    </w:p>
    <w:p w14:paraId="2BF7561C">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（指标54）</w:t>
      </w:r>
      <w:r>
        <w:rPr>
          <w:rFonts w:hint="eastAsia" w:ascii="宋体" w:hAnsi="宋体" w:eastAsia="宋体" w:cs="宋体"/>
          <w:color w:val="auto"/>
          <w:sz w:val="24"/>
          <w:szCs w:val="24"/>
          <w:highlight w:val="none"/>
        </w:rPr>
        <w:t>（4）确保销控室室内卫生清洁，物品摆放整齐，禁止无关人员进入。</w:t>
      </w:r>
    </w:p>
    <w:p w14:paraId="10A0F74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5.应急处置队员</w:t>
      </w:r>
    </w:p>
    <w:p w14:paraId="29292789">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（指标55）</w:t>
      </w:r>
      <w:r>
        <w:rPr>
          <w:rFonts w:hint="eastAsia" w:ascii="宋体" w:hAnsi="宋体" w:eastAsia="宋体" w:cs="宋体"/>
          <w:color w:val="auto"/>
          <w:sz w:val="24"/>
          <w:szCs w:val="24"/>
          <w:highlight w:val="none"/>
        </w:rPr>
        <w:t>（1）实行24小时执勤工作制。当班期间时刻保持战备状态，做到召之即来，来之能战，随时应急处置突发事件。</w:t>
      </w:r>
      <w:r>
        <w:rPr>
          <w:rFonts w:hint="eastAsia" w:ascii="宋体" w:hAnsi="宋体" w:eastAsia="宋体" w:cs="宋体"/>
          <w:color w:val="auto"/>
          <w:sz w:val="24"/>
          <w:szCs w:val="24"/>
          <w:highlight w:val="none"/>
          <w:shd w:val="clear" w:fill="FFFFFF"/>
        </w:rPr>
        <w:t>并能在第一时间赶赴突发事件现场，确保事态不蔓延、不扩大。</w:t>
      </w:r>
    </w:p>
    <w:p w14:paraId="0F66D861">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（指标56）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shd w:val="clear" w:fill="FFFFFF"/>
        </w:rPr>
        <w:t>担负应急值守，对学校重点部位、重点目标、重点路段及人员进行防控，落实24小时巡逻，及时上报校园突发事件、重大情况的信息及动态，确保随时把握处置事件的主动权。</w:t>
      </w:r>
    </w:p>
    <w:p w14:paraId="4BA0AD0A">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（指标57）</w:t>
      </w:r>
      <w:r>
        <w:rPr>
          <w:rFonts w:hint="eastAsia" w:ascii="宋体" w:hAnsi="宋体" w:eastAsia="宋体" w:cs="宋体"/>
          <w:color w:val="auto"/>
          <w:sz w:val="24"/>
          <w:szCs w:val="24"/>
          <w:highlight w:val="none"/>
          <w:shd w:val="clear" w:fill="FFFFFF"/>
        </w:rPr>
        <w:t>（3）全面负责本项目保安工作管理，做好日常与采购人的沟通工作，听从采购人的工作安排。</w:t>
      </w:r>
    </w:p>
    <w:p w14:paraId="7C83C38B">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（指标58）</w:t>
      </w:r>
      <w:r>
        <w:rPr>
          <w:rFonts w:hint="eastAsia" w:ascii="宋体" w:hAnsi="宋体" w:eastAsia="宋体" w:cs="宋体"/>
          <w:color w:val="auto"/>
          <w:sz w:val="24"/>
          <w:szCs w:val="24"/>
          <w:highlight w:val="none"/>
        </w:rPr>
        <w:t>（4）非应急状态时，开展备战巡查和岗位练兵，并完成保卫部交办的各项临时工作。</w:t>
      </w:r>
    </w:p>
    <w:p w14:paraId="7220351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6.其他内容</w:t>
      </w:r>
    </w:p>
    <w:p w14:paraId="72EEDFCF">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（指标59）</w:t>
      </w:r>
      <w:r>
        <w:rPr>
          <w:rFonts w:hint="eastAsia" w:ascii="宋体" w:hAnsi="宋体" w:eastAsia="宋体" w:cs="宋体"/>
          <w:color w:val="auto"/>
          <w:sz w:val="24"/>
          <w:szCs w:val="24"/>
          <w:highlight w:val="none"/>
          <w:shd w:val="clear" w:fill="FFFFFF"/>
        </w:rPr>
        <w:t>（1）学校大型活动与会务工作等期间的安全保障及临时性应急工作。做好采购人校内主办的大型活动、重要接待任务、会务及大型考试工作等期间的安全保障及临时性应急工作。</w:t>
      </w:r>
    </w:p>
    <w:p w14:paraId="01BF2A07">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（指标60）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shd w:val="clear" w:fill="FFFFFF"/>
        </w:rPr>
        <w:t>做好校园内发生重大安全事故、案件的协助处理，突发灾害性事故的应急处置等。若在现有合同数保安人员（88人）保障不足的情况下，需要增加临保人员，由中标人负责派出，费用按福建省非全日制用工小时最低工资标准，按实际人数由采购人支出。</w:t>
      </w:r>
    </w:p>
    <w:p w14:paraId="0F92EC29">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（指标61）</w:t>
      </w:r>
      <w:r>
        <w:rPr>
          <w:rFonts w:hint="eastAsia" w:ascii="宋体" w:hAnsi="宋体" w:eastAsia="宋体" w:cs="宋体"/>
          <w:color w:val="auto"/>
          <w:sz w:val="24"/>
          <w:szCs w:val="24"/>
          <w:highlight w:val="none"/>
        </w:rPr>
        <w:t>（3）学校内无任何因服务管理不到位而引发的重大责任事故发生，使事故、案件的发生率控制在规定的范围内。</w:t>
      </w:r>
    </w:p>
    <w:p w14:paraId="04F23BBB">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（指标62）</w:t>
      </w:r>
      <w:r>
        <w:rPr>
          <w:rFonts w:hint="eastAsia" w:ascii="宋体" w:hAnsi="宋体" w:eastAsia="宋体" w:cs="宋体"/>
          <w:color w:val="auto"/>
          <w:sz w:val="24"/>
          <w:szCs w:val="24"/>
          <w:highlight w:val="none"/>
        </w:rPr>
        <w:t>（4）做好景观湖面的防溺水工作，做好安全宣传教育工作，坚持全天巡逻巡查。</w:t>
      </w:r>
    </w:p>
    <w:p w14:paraId="6684D888">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（指标63）</w:t>
      </w:r>
      <w:r>
        <w:rPr>
          <w:rFonts w:hint="eastAsia" w:ascii="宋体" w:hAnsi="宋体" w:eastAsia="宋体" w:cs="宋体"/>
          <w:color w:val="auto"/>
          <w:sz w:val="24"/>
          <w:szCs w:val="24"/>
          <w:highlight w:val="none"/>
        </w:rPr>
        <w:t>（5）校园内发生盗窃、暴恐等案件并造成重大损失，若因保安人员失职应承担赔偿等责任。（见合同）。</w:t>
      </w:r>
    </w:p>
    <w:p w14:paraId="1AB8CCFE">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（指标64）</w:t>
      </w:r>
      <w:r>
        <w:rPr>
          <w:rFonts w:hint="eastAsia" w:ascii="宋体" w:hAnsi="宋体" w:eastAsia="宋体" w:cs="宋体"/>
          <w:color w:val="auto"/>
          <w:sz w:val="24"/>
          <w:szCs w:val="24"/>
          <w:highlight w:val="none"/>
        </w:rPr>
        <w:t>（6）加强对校园秩序进行有效管理，协助学校相关部门对乱摆摊设点现象进行管理。</w:t>
      </w:r>
    </w:p>
    <w:p w14:paraId="110B64DB">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（指标65）</w:t>
      </w:r>
      <w:r>
        <w:rPr>
          <w:rFonts w:hint="eastAsia" w:ascii="宋体" w:hAnsi="宋体" w:eastAsia="宋体" w:cs="宋体"/>
          <w:color w:val="auto"/>
          <w:sz w:val="24"/>
          <w:szCs w:val="24"/>
          <w:highlight w:val="none"/>
        </w:rPr>
        <w:t>（7）建立一支强有力的安防管理队伍，健全一套行之有效的各类突发事件应急预案，每学期开展一次预案演练。</w:t>
      </w:r>
    </w:p>
    <w:p w14:paraId="67851AA5">
      <w:pPr>
        <w:pStyle w:val="6"/>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（指标66）</w:t>
      </w:r>
      <w:r>
        <w:rPr>
          <w:rFonts w:hint="eastAsia" w:ascii="宋体" w:hAnsi="宋体" w:eastAsia="宋体" w:cs="宋体"/>
          <w:color w:val="auto"/>
          <w:sz w:val="24"/>
          <w:szCs w:val="24"/>
          <w:highlight w:val="none"/>
        </w:rPr>
        <w:t>（8）完成学校交给的其他工作任务。</w:t>
      </w:r>
    </w:p>
    <w:p w14:paraId="325EB43D">
      <w:pPr>
        <w:pStyle w:val="6"/>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w:t>
      </w:r>
      <w:r>
        <w:rPr>
          <w:rFonts w:hint="eastAsia" w:ascii="宋体" w:hAnsi="宋体" w:eastAsia="宋体" w:cs="宋体"/>
          <w:b/>
          <w:color w:val="auto"/>
          <w:sz w:val="24"/>
          <w:szCs w:val="24"/>
          <w:highlight w:val="none"/>
        </w:rPr>
        <w:t>（十）考核办法（此项包括（十）考核办法以下的所有内容）</w:t>
      </w:r>
    </w:p>
    <w:p w14:paraId="159DCF4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每月一次，考核总分100分，考核内容包括保安人数配备、保安出勤情况、保安服务内容及保安工作表现；(1)考核得分≥85分，全额拨付当月实际保安服务经费。(2)80≤当月考核总分＜85分，扣当月保安服务经费的5%，拨付当月实际服务保安经费的95%。(3)当月考核总分＜80分，扣当月保安服务经费的20%,拨付当月实际服务保安经费的80%。(4)当月考核总分＜60分，视为不合格，不予发放当月保安服务经费；连续三个月考核总分＜80分的，采购人有权终止合同。</w:t>
      </w:r>
    </w:p>
    <w:p w14:paraId="0FC61A7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保安工作考核表</w:t>
      </w:r>
    </w:p>
    <w:tbl>
      <w:tblPr>
        <w:tblStyle w:val="4"/>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833"/>
        <w:gridCol w:w="5633"/>
      </w:tblGrid>
      <w:tr w14:paraId="0E1D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rPr>
        <w:tc>
          <w:tcPr>
            <w:tcW w:w="1274" w:type="dxa"/>
            <w:tcMar>
              <w:top w:w="0" w:type="dxa"/>
              <w:left w:w="105" w:type="dxa"/>
              <w:bottom w:w="0" w:type="dxa"/>
              <w:right w:w="105" w:type="dxa"/>
            </w:tcMar>
            <w:vAlign w:val="top"/>
          </w:tcPr>
          <w:p w14:paraId="55B6D8BE">
            <w:pPr>
              <w:pStyle w:val="6"/>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考核项目</w:t>
            </w:r>
          </w:p>
        </w:tc>
        <w:tc>
          <w:tcPr>
            <w:tcW w:w="2833" w:type="dxa"/>
            <w:tcMar>
              <w:top w:w="0" w:type="dxa"/>
              <w:left w:w="105" w:type="dxa"/>
              <w:bottom w:w="0" w:type="dxa"/>
              <w:right w:w="105" w:type="dxa"/>
            </w:tcMar>
            <w:vAlign w:val="top"/>
          </w:tcPr>
          <w:p w14:paraId="6745F1C2">
            <w:pPr>
              <w:pStyle w:val="6"/>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考核内容</w:t>
            </w:r>
          </w:p>
        </w:tc>
        <w:tc>
          <w:tcPr>
            <w:tcW w:w="5633" w:type="dxa"/>
            <w:tcMar>
              <w:top w:w="0" w:type="dxa"/>
              <w:left w:w="105" w:type="dxa"/>
              <w:bottom w:w="0" w:type="dxa"/>
              <w:right w:w="105" w:type="dxa"/>
            </w:tcMar>
            <w:vAlign w:val="top"/>
          </w:tcPr>
          <w:p w14:paraId="1D7E353B">
            <w:pPr>
              <w:pStyle w:val="6"/>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扣分标准</w:t>
            </w:r>
          </w:p>
        </w:tc>
      </w:tr>
      <w:tr w14:paraId="71F7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Mar>
              <w:top w:w="0" w:type="dxa"/>
              <w:left w:w="105" w:type="dxa"/>
              <w:bottom w:w="0" w:type="dxa"/>
              <w:right w:w="105" w:type="dxa"/>
            </w:tcMar>
            <w:vAlign w:val="center"/>
          </w:tcPr>
          <w:p w14:paraId="46C769B6">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合同要求</w:t>
            </w:r>
          </w:p>
        </w:tc>
        <w:tc>
          <w:tcPr>
            <w:tcW w:w="2833" w:type="dxa"/>
            <w:tcMar>
              <w:top w:w="0" w:type="dxa"/>
              <w:left w:w="105" w:type="dxa"/>
              <w:bottom w:w="0" w:type="dxa"/>
              <w:right w:w="105" w:type="dxa"/>
            </w:tcMar>
            <w:vAlign w:val="center"/>
          </w:tcPr>
          <w:p w14:paraId="3E7C32B1">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中标人按照合同认真履职，确保责任范围内不发生责任案件和事故。</w:t>
            </w:r>
          </w:p>
        </w:tc>
        <w:tc>
          <w:tcPr>
            <w:tcW w:w="5633" w:type="dxa"/>
            <w:tcMar>
              <w:top w:w="0" w:type="dxa"/>
              <w:left w:w="105" w:type="dxa"/>
              <w:bottom w:w="0" w:type="dxa"/>
              <w:right w:w="105" w:type="dxa"/>
            </w:tcMar>
            <w:vAlign w:val="center"/>
          </w:tcPr>
          <w:p w14:paraId="6E85256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1.中标人日常管理工作不到位，扣10分。</w:t>
            </w:r>
          </w:p>
          <w:p w14:paraId="1AA35794">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2.积极配合采购人工作，做好应急处置事情，未做到扣20分。</w:t>
            </w:r>
          </w:p>
          <w:p w14:paraId="56E069E0">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3.若因工作失职造成伤害，轻伤每人次扣5分，重伤每人次扣20分，死亡每人次扣40分。</w:t>
            </w:r>
          </w:p>
        </w:tc>
      </w:tr>
      <w:tr w14:paraId="2DFC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restart"/>
            <w:tcMar>
              <w:top w:w="0" w:type="dxa"/>
              <w:left w:w="105" w:type="dxa"/>
              <w:bottom w:w="0" w:type="dxa"/>
              <w:right w:w="105" w:type="dxa"/>
            </w:tcMar>
            <w:vAlign w:val="center"/>
          </w:tcPr>
          <w:p w14:paraId="1332E09B">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岗位职责</w:t>
            </w:r>
          </w:p>
        </w:tc>
        <w:tc>
          <w:tcPr>
            <w:tcW w:w="2833" w:type="dxa"/>
            <w:tcMar>
              <w:top w:w="0" w:type="dxa"/>
              <w:left w:w="105" w:type="dxa"/>
              <w:bottom w:w="0" w:type="dxa"/>
              <w:right w:w="105" w:type="dxa"/>
            </w:tcMar>
            <w:vAlign w:val="center"/>
          </w:tcPr>
          <w:p w14:paraId="31468E2C">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准时上下班，不得无故缺勤、迟到、早退、旷工。</w:t>
            </w:r>
          </w:p>
        </w:tc>
        <w:tc>
          <w:tcPr>
            <w:tcW w:w="5633" w:type="dxa"/>
            <w:tcMar>
              <w:top w:w="0" w:type="dxa"/>
              <w:left w:w="105" w:type="dxa"/>
              <w:bottom w:w="0" w:type="dxa"/>
              <w:right w:w="105" w:type="dxa"/>
            </w:tcMar>
            <w:vAlign w:val="center"/>
          </w:tcPr>
          <w:p w14:paraId="143724D4">
            <w:pPr>
              <w:pStyle w:val="6"/>
              <w:spacing w:before="105" w:after="10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1.迟到、早退、缺勤一次均每人次扣2分；2.旷工一次扣5分。</w:t>
            </w:r>
          </w:p>
        </w:tc>
      </w:tr>
      <w:tr w14:paraId="19C5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021F6308">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2DBFA26E">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不得擅自调换班次。</w:t>
            </w:r>
          </w:p>
        </w:tc>
        <w:tc>
          <w:tcPr>
            <w:tcW w:w="5633" w:type="dxa"/>
            <w:tcMar>
              <w:top w:w="0" w:type="dxa"/>
              <w:left w:w="105" w:type="dxa"/>
              <w:bottom w:w="0" w:type="dxa"/>
              <w:right w:w="105" w:type="dxa"/>
            </w:tcMar>
            <w:vAlign w:val="center"/>
          </w:tcPr>
          <w:p w14:paraId="478FF5B0">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发现一次每人次扣1分</w:t>
            </w:r>
          </w:p>
        </w:tc>
      </w:tr>
      <w:tr w14:paraId="0FED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2326FCB3">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540497FB">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不得脱岗或串岗，固定岗位不得超出规定活动区域，特殊情况除外。</w:t>
            </w:r>
          </w:p>
        </w:tc>
        <w:tc>
          <w:tcPr>
            <w:tcW w:w="5633" w:type="dxa"/>
            <w:tcMar>
              <w:top w:w="0" w:type="dxa"/>
              <w:left w:w="105" w:type="dxa"/>
              <w:bottom w:w="0" w:type="dxa"/>
              <w:right w:w="105" w:type="dxa"/>
            </w:tcMar>
            <w:vAlign w:val="center"/>
          </w:tcPr>
          <w:p w14:paraId="10408685">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发现一次每人次扣1分</w:t>
            </w:r>
          </w:p>
        </w:tc>
      </w:tr>
      <w:tr w14:paraId="04EF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6010C379">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50C18D33">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在岗位不得做与工作无关的事：包括吸烟、酗酒、聊天、嬉闹喧哗、吃零食、看书报、玩手机、或睡觉等。</w:t>
            </w:r>
          </w:p>
        </w:tc>
        <w:tc>
          <w:tcPr>
            <w:tcW w:w="5633" w:type="dxa"/>
            <w:tcMar>
              <w:top w:w="0" w:type="dxa"/>
              <w:left w:w="105" w:type="dxa"/>
              <w:bottom w:w="0" w:type="dxa"/>
              <w:right w:w="105" w:type="dxa"/>
            </w:tcMar>
            <w:vAlign w:val="center"/>
          </w:tcPr>
          <w:p w14:paraId="11F4AEF4">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发现一次每人次扣2分</w:t>
            </w:r>
          </w:p>
        </w:tc>
      </w:tr>
      <w:tr w14:paraId="37E9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0DF0374A">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0A14139C">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违反国家法律、法规，被有关部门给予处理或通知领回。</w:t>
            </w:r>
          </w:p>
        </w:tc>
        <w:tc>
          <w:tcPr>
            <w:tcW w:w="5633" w:type="dxa"/>
            <w:tcMar>
              <w:top w:w="0" w:type="dxa"/>
              <w:left w:w="105" w:type="dxa"/>
              <w:bottom w:w="0" w:type="dxa"/>
              <w:right w:w="105" w:type="dxa"/>
            </w:tcMar>
            <w:vAlign w:val="center"/>
          </w:tcPr>
          <w:p w14:paraId="1337B87C">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发现一次每人次扣5分</w:t>
            </w:r>
          </w:p>
        </w:tc>
      </w:tr>
      <w:tr w14:paraId="6D5A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1FE42F19">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7A496E2D">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利用职务之便，谋取个人私利。</w:t>
            </w:r>
          </w:p>
        </w:tc>
        <w:tc>
          <w:tcPr>
            <w:tcW w:w="5633" w:type="dxa"/>
            <w:tcMar>
              <w:top w:w="0" w:type="dxa"/>
              <w:left w:w="105" w:type="dxa"/>
              <w:bottom w:w="0" w:type="dxa"/>
              <w:right w:w="105" w:type="dxa"/>
            </w:tcMar>
            <w:vAlign w:val="center"/>
          </w:tcPr>
          <w:p w14:paraId="1DA1BB24">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发现一次每人次扣5分</w:t>
            </w:r>
          </w:p>
        </w:tc>
      </w:tr>
      <w:tr w14:paraId="77C7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38FAE83A">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1238D249">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设备物资损坏、丢失</w:t>
            </w:r>
          </w:p>
        </w:tc>
        <w:tc>
          <w:tcPr>
            <w:tcW w:w="5633" w:type="dxa"/>
            <w:tcMar>
              <w:top w:w="0" w:type="dxa"/>
              <w:left w:w="105" w:type="dxa"/>
              <w:bottom w:w="0" w:type="dxa"/>
              <w:right w:w="105" w:type="dxa"/>
            </w:tcMar>
            <w:vAlign w:val="center"/>
          </w:tcPr>
          <w:p w14:paraId="68E67C09">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发现一次扣3分</w:t>
            </w:r>
          </w:p>
        </w:tc>
      </w:tr>
      <w:tr w14:paraId="6346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449F31FB">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4BEF80F8">
            <w:pPr>
              <w:pStyle w:val="6"/>
              <w:spacing w:before="105" w:after="10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对违反交通规则的师生，应给予劝阻教育。</w:t>
            </w:r>
          </w:p>
        </w:tc>
        <w:tc>
          <w:tcPr>
            <w:tcW w:w="5633" w:type="dxa"/>
            <w:tcMar>
              <w:top w:w="0" w:type="dxa"/>
              <w:left w:w="105" w:type="dxa"/>
              <w:bottom w:w="0" w:type="dxa"/>
              <w:right w:w="105" w:type="dxa"/>
            </w:tcMar>
            <w:vAlign w:val="center"/>
          </w:tcPr>
          <w:p w14:paraId="1E9C63B5">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未做到扣2分</w:t>
            </w:r>
          </w:p>
        </w:tc>
      </w:tr>
      <w:tr w14:paraId="0954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6064EB67">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34E13E76">
            <w:pPr>
              <w:pStyle w:val="6"/>
              <w:spacing w:before="105" w:after="10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管理发生交通事故、治安案件，应及时报告，并采取有效措施保护现场</w:t>
            </w:r>
          </w:p>
        </w:tc>
        <w:tc>
          <w:tcPr>
            <w:tcW w:w="5633" w:type="dxa"/>
            <w:tcMar>
              <w:top w:w="0" w:type="dxa"/>
              <w:left w:w="105" w:type="dxa"/>
              <w:bottom w:w="0" w:type="dxa"/>
              <w:right w:w="105" w:type="dxa"/>
            </w:tcMar>
            <w:vAlign w:val="center"/>
          </w:tcPr>
          <w:p w14:paraId="4FBC4E5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未做到扣3分</w:t>
            </w:r>
          </w:p>
        </w:tc>
      </w:tr>
      <w:tr w14:paraId="5B28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0AA45484">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3A81560B">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发现问题、隐患及时上报</w:t>
            </w:r>
          </w:p>
        </w:tc>
        <w:tc>
          <w:tcPr>
            <w:tcW w:w="5633" w:type="dxa"/>
            <w:tcMar>
              <w:top w:w="0" w:type="dxa"/>
              <w:left w:w="105" w:type="dxa"/>
              <w:bottom w:w="0" w:type="dxa"/>
              <w:right w:w="105" w:type="dxa"/>
            </w:tcMar>
            <w:vAlign w:val="center"/>
          </w:tcPr>
          <w:p w14:paraId="4CFF1674">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未做到扣3分</w:t>
            </w:r>
          </w:p>
        </w:tc>
      </w:tr>
      <w:tr w14:paraId="3E90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3F609FE7">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7289B82F">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对师生严重违法或严重损坏环境、设施，应及时给予阻止并依法处理</w:t>
            </w:r>
          </w:p>
        </w:tc>
        <w:tc>
          <w:tcPr>
            <w:tcW w:w="5633" w:type="dxa"/>
            <w:tcMar>
              <w:top w:w="0" w:type="dxa"/>
              <w:left w:w="105" w:type="dxa"/>
              <w:bottom w:w="0" w:type="dxa"/>
              <w:right w:w="105" w:type="dxa"/>
            </w:tcMar>
            <w:vAlign w:val="center"/>
          </w:tcPr>
          <w:p w14:paraId="71BF3C4F">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未做到扣3分</w:t>
            </w:r>
          </w:p>
        </w:tc>
      </w:tr>
      <w:tr w14:paraId="7E42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293FD225">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493DB71B">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做好对外来车辆的管理和登记</w:t>
            </w:r>
          </w:p>
        </w:tc>
        <w:tc>
          <w:tcPr>
            <w:tcW w:w="5633" w:type="dxa"/>
            <w:tcMar>
              <w:top w:w="0" w:type="dxa"/>
              <w:left w:w="105" w:type="dxa"/>
              <w:bottom w:w="0" w:type="dxa"/>
              <w:right w:w="105" w:type="dxa"/>
            </w:tcMar>
            <w:vAlign w:val="center"/>
          </w:tcPr>
          <w:p w14:paraId="0F3BFEDA">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未做到扣2分</w:t>
            </w:r>
          </w:p>
        </w:tc>
      </w:tr>
      <w:tr w14:paraId="47C3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1F7AED14">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6168C0C6">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服从工作安排</w:t>
            </w:r>
          </w:p>
        </w:tc>
        <w:tc>
          <w:tcPr>
            <w:tcW w:w="5633" w:type="dxa"/>
            <w:tcMar>
              <w:top w:w="0" w:type="dxa"/>
              <w:left w:w="105" w:type="dxa"/>
              <w:bottom w:w="0" w:type="dxa"/>
              <w:right w:w="105" w:type="dxa"/>
            </w:tcMar>
            <w:vAlign w:val="center"/>
          </w:tcPr>
          <w:p w14:paraId="5DECEE48">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未做到扣3分</w:t>
            </w:r>
          </w:p>
        </w:tc>
      </w:tr>
      <w:tr w14:paraId="5675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406363A4">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123AD18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队员管理，无违法犯罪行为。</w:t>
            </w:r>
          </w:p>
        </w:tc>
        <w:tc>
          <w:tcPr>
            <w:tcW w:w="5633" w:type="dxa"/>
            <w:tcMar>
              <w:top w:w="0" w:type="dxa"/>
              <w:left w:w="105" w:type="dxa"/>
              <w:bottom w:w="0" w:type="dxa"/>
              <w:right w:w="105" w:type="dxa"/>
            </w:tcMar>
            <w:vAlign w:val="center"/>
          </w:tcPr>
          <w:p w14:paraId="14B6F3DC">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1.队员内部发生纠纷，扣2分；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2.打架斗殴，扣5分；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3.队员有违法行为，被公安机关查处，每人次扣5分；构成犯罪的，每人次扣20分。</w:t>
            </w:r>
          </w:p>
        </w:tc>
      </w:tr>
      <w:tr w14:paraId="27B3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restart"/>
            <w:tcMar>
              <w:top w:w="0" w:type="dxa"/>
              <w:left w:w="105" w:type="dxa"/>
              <w:bottom w:w="0" w:type="dxa"/>
              <w:right w:w="105" w:type="dxa"/>
            </w:tcMar>
            <w:vAlign w:val="center"/>
          </w:tcPr>
          <w:p w14:paraId="195A6D49">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业务培训</w:t>
            </w:r>
          </w:p>
        </w:tc>
        <w:tc>
          <w:tcPr>
            <w:tcW w:w="2833" w:type="dxa"/>
            <w:tcMar>
              <w:top w:w="0" w:type="dxa"/>
              <w:left w:w="105" w:type="dxa"/>
              <w:bottom w:w="0" w:type="dxa"/>
              <w:right w:w="105" w:type="dxa"/>
            </w:tcMar>
            <w:vAlign w:val="center"/>
          </w:tcPr>
          <w:p w14:paraId="0FEBC629">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制定具体的培训计划和方案</w:t>
            </w:r>
          </w:p>
        </w:tc>
        <w:tc>
          <w:tcPr>
            <w:tcW w:w="5633" w:type="dxa"/>
            <w:tcMar>
              <w:top w:w="0" w:type="dxa"/>
              <w:left w:w="105" w:type="dxa"/>
              <w:bottom w:w="0" w:type="dxa"/>
              <w:right w:w="105" w:type="dxa"/>
            </w:tcMar>
            <w:vAlign w:val="center"/>
          </w:tcPr>
          <w:p w14:paraId="03046B19">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未做到扣2分</w:t>
            </w:r>
          </w:p>
        </w:tc>
      </w:tr>
      <w:tr w14:paraId="2C05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4FA8D268">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262D8E1F">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每学期应急演练和消防演练各开展一次</w:t>
            </w:r>
          </w:p>
        </w:tc>
        <w:tc>
          <w:tcPr>
            <w:tcW w:w="5633" w:type="dxa"/>
            <w:tcMar>
              <w:top w:w="0" w:type="dxa"/>
              <w:left w:w="105" w:type="dxa"/>
              <w:bottom w:w="0" w:type="dxa"/>
              <w:right w:w="105" w:type="dxa"/>
            </w:tcMar>
            <w:vAlign w:val="center"/>
          </w:tcPr>
          <w:p w14:paraId="2F85497C">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未做到扣2分</w:t>
            </w:r>
          </w:p>
        </w:tc>
      </w:tr>
      <w:tr w14:paraId="166E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564A1DA5">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493115B9">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按要求参加学校组织的各种相关培训</w:t>
            </w:r>
          </w:p>
        </w:tc>
        <w:tc>
          <w:tcPr>
            <w:tcW w:w="5633" w:type="dxa"/>
            <w:tcMar>
              <w:top w:w="0" w:type="dxa"/>
              <w:left w:w="105" w:type="dxa"/>
              <w:bottom w:w="0" w:type="dxa"/>
              <w:right w:w="105" w:type="dxa"/>
            </w:tcMar>
            <w:vAlign w:val="center"/>
          </w:tcPr>
          <w:p w14:paraId="26292DCE">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未做到扣1分</w:t>
            </w:r>
          </w:p>
        </w:tc>
      </w:tr>
      <w:tr w14:paraId="64BD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restart"/>
            <w:tcMar>
              <w:top w:w="0" w:type="dxa"/>
              <w:left w:w="105" w:type="dxa"/>
              <w:bottom w:w="0" w:type="dxa"/>
              <w:right w:w="105" w:type="dxa"/>
            </w:tcMar>
            <w:vAlign w:val="center"/>
          </w:tcPr>
          <w:p w14:paraId="555E31D3">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服务形象</w:t>
            </w:r>
          </w:p>
        </w:tc>
        <w:tc>
          <w:tcPr>
            <w:tcW w:w="2833" w:type="dxa"/>
            <w:tcMar>
              <w:top w:w="0" w:type="dxa"/>
              <w:left w:w="105" w:type="dxa"/>
              <w:bottom w:w="0" w:type="dxa"/>
              <w:right w:w="105" w:type="dxa"/>
            </w:tcMar>
            <w:vAlign w:val="center"/>
          </w:tcPr>
          <w:p w14:paraId="4D0386AE">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着装整洁，仪表端正</w:t>
            </w:r>
          </w:p>
        </w:tc>
        <w:tc>
          <w:tcPr>
            <w:tcW w:w="5633" w:type="dxa"/>
            <w:tcMar>
              <w:top w:w="0" w:type="dxa"/>
              <w:left w:w="105" w:type="dxa"/>
              <w:bottom w:w="0" w:type="dxa"/>
              <w:right w:w="105" w:type="dxa"/>
            </w:tcMar>
            <w:vAlign w:val="center"/>
          </w:tcPr>
          <w:p w14:paraId="256AE44A">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未做到扣1分</w:t>
            </w:r>
          </w:p>
        </w:tc>
      </w:tr>
      <w:tr w14:paraId="73B9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7C07487E">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50B32A4D">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文明礼貌，言行举止规范</w:t>
            </w:r>
          </w:p>
        </w:tc>
        <w:tc>
          <w:tcPr>
            <w:tcW w:w="5633" w:type="dxa"/>
            <w:tcMar>
              <w:top w:w="0" w:type="dxa"/>
              <w:left w:w="105" w:type="dxa"/>
              <w:bottom w:w="0" w:type="dxa"/>
              <w:right w:w="105" w:type="dxa"/>
            </w:tcMar>
            <w:vAlign w:val="center"/>
          </w:tcPr>
          <w:p w14:paraId="39A108E6">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未做到扣1分</w:t>
            </w:r>
          </w:p>
        </w:tc>
      </w:tr>
      <w:tr w14:paraId="2421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29294812">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0D4DDB84">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发现师生有求助</w:t>
            </w:r>
          </w:p>
        </w:tc>
        <w:tc>
          <w:tcPr>
            <w:tcW w:w="5633" w:type="dxa"/>
            <w:tcMar>
              <w:top w:w="0" w:type="dxa"/>
              <w:left w:w="105" w:type="dxa"/>
              <w:bottom w:w="0" w:type="dxa"/>
              <w:right w:w="105" w:type="dxa"/>
            </w:tcMar>
            <w:vAlign w:val="center"/>
          </w:tcPr>
          <w:p w14:paraId="5055414E">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未做到扣2分</w:t>
            </w:r>
          </w:p>
        </w:tc>
      </w:tr>
      <w:tr w14:paraId="1260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Merge w:val="continue"/>
            <w:vAlign w:val="center"/>
          </w:tcPr>
          <w:p w14:paraId="7041F908">
            <w:pPr>
              <w:jc w:val="both"/>
              <w:rPr>
                <w:rFonts w:hint="eastAsia" w:ascii="宋体" w:hAnsi="宋体" w:eastAsia="宋体" w:cs="宋体"/>
                <w:color w:val="auto"/>
                <w:sz w:val="24"/>
                <w:szCs w:val="24"/>
                <w:highlight w:val="none"/>
              </w:rPr>
            </w:pPr>
          </w:p>
        </w:tc>
        <w:tc>
          <w:tcPr>
            <w:tcW w:w="2833" w:type="dxa"/>
            <w:tcMar>
              <w:top w:w="0" w:type="dxa"/>
              <w:left w:w="105" w:type="dxa"/>
              <w:bottom w:w="0" w:type="dxa"/>
              <w:right w:w="105" w:type="dxa"/>
            </w:tcMar>
            <w:vAlign w:val="center"/>
          </w:tcPr>
          <w:p w14:paraId="74240FE3">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岗位和值班室卫生情况</w:t>
            </w:r>
          </w:p>
        </w:tc>
        <w:tc>
          <w:tcPr>
            <w:tcW w:w="5633" w:type="dxa"/>
            <w:tcMar>
              <w:top w:w="0" w:type="dxa"/>
              <w:left w:w="105" w:type="dxa"/>
              <w:bottom w:w="0" w:type="dxa"/>
              <w:right w:w="105" w:type="dxa"/>
            </w:tcMar>
            <w:vAlign w:val="center"/>
          </w:tcPr>
          <w:p w14:paraId="1F7FDD33">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未做到扣2分</w:t>
            </w:r>
          </w:p>
        </w:tc>
      </w:tr>
      <w:tr w14:paraId="704A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Mar>
              <w:top w:w="0" w:type="dxa"/>
              <w:left w:w="105" w:type="dxa"/>
              <w:bottom w:w="0" w:type="dxa"/>
              <w:right w:w="105" w:type="dxa"/>
            </w:tcMar>
            <w:vAlign w:val="center"/>
          </w:tcPr>
          <w:p w14:paraId="022F9CFF">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加分项</w:t>
            </w:r>
          </w:p>
        </w:tc>
        <w:tc>
          <w:tcPr>
            <w:tcW w:w="2833" w:type="dxa"/>
            <w:tcMar>
              <w:top w:w="0" w:type="dxa"/>
              <w:left w:w="105" w:type="dxa"/>
              <w:bottom w:w="0" w:type="dxa"/>
              <w:right w:w="105" w:type="dxa"/>
            </w:tcMar>
            <w:vAlign w:val="center"/>
          </w:tcPr>
          <w:p w14:paraId="2501DD03">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查破案件或队员有见义勇为行为受到表彰的</w:t>
            </w:r>
          </w:p>
        </w:tc>
        <w:tc>
          <w:tcPr>
            <w:tcW w:w="5633" w:type="dxa"/>
            <w:tcMar>
              <w:top w:w="0" w:type="dxa"/>
              <w:left w:w="105" w:type="dxa"/>
              <w:bottom w:w="0" w:type="dxa"/>
              <w:right w:w="105" w:type="dxa"/>
            </w:tcMar>
            <w:vAlign w:val="center"/>
          </w:tcPr>
          <w:p w14:paraId="1E746307">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1.查破案件的，按发案扣分的标准等额加分；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2.受到学校通报表彰的，一人一次加10分；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3.受到市、厅级表彰的，一人一次加20分；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4.受到省部级及以上表彰的，一人一次加30分；</w:t>
            </w:r>
          </w:p>
        </w:tc>
      </w:tr>
    </w:tbl>
    <w:p w14:paraId="5B4CFB91">
      <w:pPr>
        <w:pStyle w:val="6"/>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★（十一）投标人须对以下内容需进行书面承诺（承诺函格式自拟）。</w:t>
      </w:r>
    </w:p>
    <w:p w14:paraId="279372E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1.若采购人有重大活动或临时任务、需要临时增加安保人员数量时，中标人须无条件配合采购人增加满足招标要求的安保人员并在接到采购人通知后，中标人按时限要求保证所增加的安保人员按时到岗。</w:t>
      </w:r>
    </w:p>
    <w:p w14:paraId="4B6B27B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2.若采购人后期建设发展需要，在合同期内学校旗山校区有调整保安岗位的需求，需要增加（减少）安保人员数量时，中标人须在接到采购人书面通知后无条件配合采购人增加（减少）安保人员。增加（减少）人员的费用根据中标人在投标文件中所报的单价，每个月按照实际情况进行结算。</w:t>
      </w:r>
    </w:p>
    <w:p w14:paraId="6C24A06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为确保中标人为本项目提供优质服务，投标人须承诺所配备的保安人员为无犯罪记录的人员；按国家相关规定，按月发放工资，足额缴纳保安服务人员各类社保、医疗保险等法规政策规定的一切保险费用；中标公告期结束无异议后即安排安保人员进校上岗；保安人员上岗总人数为88人；如遇突发事件接到采购人通知一个小时内赶到现场处置。</w:t>
      </w:r>
    </w:p>
    <w:p w14:paraId="68E9EA1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p w14:paraId="77906B7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（1）做好学校大型活动、重要接待任务、会务及大型考试工作等期间的安全保障及临时性应急工作。做好校园内重大安全事故、案件的协助处理，突发灾害性事故的应急处置等。</w:t>
      </w:r>
    </w:p>
    <w:p w14:paraId="58D49B6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（2）做到学校无因保安管理服务不到位而引发的重大责任事故发生，事故、案件的发生率控制在规定的范围内。校园内发生盗窃、暴恐等案件并造成重大损失</w:t>
      </w:r>
      <w:r>
        <w:rPr>
          <w:rFonts w:hint="eastAsia" w:ascii="宋体" w:hAnsi="宋体" w:eastAsia="宋体" w:cs="宋体"/>
          <w:color w:val="auto"/>
          <w:sz w:val="24"/>
          <w:szCs w:val="24"/>
          <w:highlight w:val="none"/>
          <w:shd w:val="clear" w:fill="FFFFFF"/>
        </w:rPr>
        <w:t>，若属于保安人员失职的应承担相应赔偿等责任。发现消防设备异常或火情警报时，要及时报告、及时处置、防止火情蔓延。</w:t>
      </w:r>
    </w:p>
    <w:p w14:paraId="018FB1B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（3）保安食宿自理，可在学校食堂内就餐。完成学校交给的其他工作任务。</w:t>
      </w:r>
    </w:p>
    <w:p w14:paraId="477EBFF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4）拟派遣本项目的大队长、副大队长在本项目服务期一年内不得更换（除不可抗拒因素），否则扣除当月每个岗位5万元服务费。若服务期满一年后更换大队长、副大队长的，需经采购人同意，否则采购人有权终止合同。同时接替人须与更换人具有同等资历。</w:t>
      </w:r>
      <w:r>
        <w:rPr>
          <w:rFonts w:hint="eastAsia" w:ascii="宋体" w:hAnsi="宋体" w:eastAsia="宋体" w:cs="宋体"/>
          <w:b/>
          <w:color w:val="auto"/>
          <w:sz w:val="24"/>
          <w:szCs w:val="24"/>
          <w:highlight w:val="none"/>
          <w:shd w:val="clear" w:fill="D9D9D9"/>
        </w:rPr>
        <w:t>投标人须对以上内容进行书面承诺（承诺函格式自拟）</w:t>
      </w:r>
    </w:p>
    <w:p w14:paraId="30E1388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（5）投标人须承诺拟派遣所有的保安人员工作中造成的任何事故，由投标人承担全部责任。</w:t>
      </w:r>
      <w:r>
        <w:rPr>
          <w:rFonts w:hint="eastAsia" w:ascii="宋体" w:hAnsi="宋体" w:eastAsia="宋体" w:cs="宋体"/>
          <w:b/>
          <w:color w:val="auto"/>
          <w:sz w:val="24"/>
          <w:szCs w:val="24"/>
          <w:highlight w:val="none"/>
          <w:shd w:val="clear" w:fill="D9D9D9"/>
        </w:rPr>
        <w:t>投标人须对以上内容进行书面承诺（承诺函格式自拟）</w:t>
      </w:r>
    </w:p>
    <w:p w14:paraId="1C5317C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（6）投标人须承诺中标后为本项目的所有保安人员购买商业保险（雇主责任险或意外险），且保额不得低于100万元。</w:t>
      </w:r>
      <w:r>
        <w:rPr>
          <w:rFonts w:hint="eastAsia" w:ascii="宋体" w:hAnsi="宋体" w:eastAsia="宋体" w:cs="宋体"/>
          <w:b/>
          <w:color w:val="auto"/>
          <w:sz w:val="24"/>
          <w:szCs w:val="24"/>
          <w:highlight w:val="none"/>
          <w:shd w:val="clear" w:fill="D9D9D9"/>
        </w:rPr>
        <w:t>投标人须对以上内容进行书面承诺（承诺函格式自拟）。</w:t>
      </w:r>
    </w:p>
    <w:p w14:paraId="1B8CE144">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14:paraId="3672D82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4"/>
        <w:tblW w:w="0" w:type="auto"/>
        <w:tblInd w:w="11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1267"/>
        <w:gridCol w:w="1467"/>
        <w:gridCol w:w="6216"/>
      </w:tblGrid>
      <w:tr w14:paraId="45878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tcPr>
          <w:p w14:paraId="3ED8EAA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7" w:type="dxa"/>
          </w:tcPr>
          <w:p w14:paraId="73B1F54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1467" w:type="dxa"/>
          </w:tcPr>
          <w:p w14:paraId="6F156821">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6216" w:type="dxa"/>
          </w:tcPr>
          <w:p w14:paraId="791DC386">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1E9CC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31F1BE7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7" w:type="dxa"/>
            <w:vAlign w:val="center"/>
          </w:tcPr>
          <w:p w14:paraId="07F319E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67" w:type="dxa"/>
            <w:vAlign w:val="center"/>
          </w:tcPr>
          <w:p w14:paraId="5CDFF185">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6216" w:type="dxa"/>
          </w:tcPr>
          <w:p w14:paraId="3A4AE38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自合同签订之日起30日</w:t>
            </w:r>
          </w:p>
        </w:tc>
      </w:tr>
      <w:tr w14:paraId="1705D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2DC3845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7" w:type="dxa"/>
            <w:vAlign w:val="center"/>
          </w:tcPr>
          <w:p w14:paraId="4B0BDDC6">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67" w:type="dxa"/>
            <w:vAlign w:val="center"/>
          </w:tcPr>
          <w:p w14:paraId="4250D479">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6216" w:type="dxa"/>
          </w:tcPr>
          <w:p w14:paraId="3168133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福建省福州市闽侯县学府南路69号</w:t>
            </w:r>
          </w:p>
        </w:tc>
      </w:tr>
      <w:tr w14:paraId="32452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670DE81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7" w:type="dxa"/>
            <w:vAlign w:val="center"/>
          </w:tcPr>
          <w:p w14:paraId="240498FC">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67" w:type="dxa"/>
            <w:vAlign w:val="center"/>
          </w:tcPr>
          <w:p w14:paraId="20974FA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6216" w:type="dxa"/>
          </w:tcPr>
          <w:p w14:paraId="0968E69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完成合同所有约定项目</w:t>
            </w:r>
          </w:p>
        </w:tc>
      </w:tr>
      <w:tr w14:paraId="650D5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6D74E4A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7" w:type="dxa"/>
            <w:vAlign w:val="center"/>
          </w:tcPr>
          <w:p w14:paraId="4B5824B1">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67" w:type="dxa"/>
            <w:vAlign w:val="center"/>
          </w:tcPr>
          <w:p w14:paraId="352F912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6216" w:type="dxa"/>
          </w:tcPr>
          <w:p w14:paraId="5890C7A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4925B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3C8AE69F">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7" w:type="dxa"/>
            <w:vAlign w:val="center"/>
          </w:tcPr>
          <w:p w14:paraId="36113F1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67" w:type="dxa"/>
            <w:vAlign w:val="center"/>
          </w:tcPr>
          <w:p w14:paraId="168E822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6216" w:type="dxa"/>
          </w:tcPr>
          <w:p w14:paraId="48956D3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1、期次1，说明：按招标文件、中标人投标文件及合同要求进行考核。（考核内容详见技术部分保安工作考核表）</w:t>
            </w:r>
          </w:p>
        </w:tc>
      </w:tr>
      <w:tr w14:paraId="06E25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51E260A2">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67" w:type="dxa"/>
            <w:vAlign w:val="center"/>
          </w:tcPr>
          <w:p w14:paraId="000D9A36">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67" w:type="dxa"/>
            <w:vAlign w:val="center"/>
          </w:tcPr>
          <w:p w14:paraId="717E11DE">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6216" w:type="dxa"/>
          </w:tcPr>
          <w:p w14:paraId="5288ED7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1、实行绩效考核制进行付款，收到中标人出具的增值税普通发票后，达到付款条件起30日内，支付合同总金额的100.00%</w:t>
            </w:r>
          </w:p>
        </w:tc>
      </w:tr>
      <w:tr w14:paraId="2CCA8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14:paraId="62423997">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67" w:type="dxa"/>
            <w:vAlign w:val="center"/>
          </w:tcPr>
          <w:p w14:paraId="3F8BA8A4">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67" w:type="dxa"/>
            <w:vAlign w:val="center"/>
          </w:tcPr>
          <w:p w14:paraId="537DC041">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216" w:type="dxa"/>
          </w:tcPr>
          <w:p w14:paraId="01F27DC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 本采购包履约保证金为合同金额的5.0%</w:t>
            </w:r>
          </w:p>
          <w:p w14:paraId="30F1638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本项目为专门面向中小企业采购，签订合同时，中标人需以对公转账形式向采购人缴纳中标总价的5%履约保证金。履约保证金缴纳后，合同方可生效。中标人完整履行采购合同，无合同条款所规定的未了事件，则以银行转账方式无息退还给中标人。</w:t>
            </w:r>
          </w:p>
        </w:tc>
      </w:tr>
    </w:tbl>
    <w:p w14:paraId="43500F9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3C0EECF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8、交货时间：服务期24个月，从合同签订后保安上岗之日起计算</w:t>
      </w:r>
      <w:r>
        <w:rPr>
          <w:rFonts w:hint="eastAsia" w:ascii="宋体" w:hAnsi="宋体" w:eastAsia="宋体" w:cs="宋体"/>
          <w:b/>
          <w:color w:val="auto"/>
          <w:sz w:val="24"/>
          <w:szCs w:val="24"/>
          <w:highlight w:val="none"/>
        </w:rPr>
        <w:t>【招标文件中交货时间以此条为准】</w:t>
      </w:r>
    </w:p>
    <w:p w14:paraId="6FAA2C03">
      <w:pPr>
        <w:pStyle w:val="6"/>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9、合同支付方式</w:t>
      </w:r>
    </w:p>
    <w:tbl>
      <w:tblPr>
        <w:tblStyle w:val="4"/>
        <w:tblW w:w="9783"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060"/>
        <w:gridCol w:w="7579"/>
      </w:tblGrid>
      <w:tr w14:paraId="0777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Mar>
              <w:top w:w="0" w:type="dxa"/>
              <w:left w:w="0" w:type="dxa"/>
              <w:bottom w:w="0" w:type="dxa"/>
              <w:right w:w="0" w:type="dxa"/>
            </w:tcMar>
            <w:vAlign w:val="center"/>
          </w:tcPr>
          <w:p w14:paraId="3BC28753">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支付期次</w:t>
            </w:r>
          </w:p>
        </w:tc>
        <w:tc>
          <w:tcPr>
            <w:tcW w:w="1060" w:type="dxa"/>
            <w:tcMar>
              <w:top w:w="0" w:type="dxa"/>
              <w:left w:w="0" w:type="dxa"/>
              <w:bottom w:w="0" w:type="dxa"/>
              <w:right w:w="0" w:type="dxa"/>
            </w:tcMar>
            <w:vAlign w:val="center"/>
          </w:tcPr>
          <w:p w14:paraId="56B14BA8">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支付比例(%)</w:t>
            </w:r>
          </w:p>
        </w:tc>
        <w:tc>
          <w:tcPr>
            <w:tcW w:w="7579" w:type="dxa"/>
            <w:tcMar>
              <w:top w:w="0" w:type="dxa"/>
              <w:left w:w="0" w:type="dxa"/>
              <w:bottom w:w="0" w:type="dxa"/>
              <w:right w:w="0" w:type="dxa"/>
            </w:tcMar>
            <w:vAlign w:val="center"/>
          </w:tcPr>
          <w:p w14:paraId="19721D30">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支付期次说明</w:t>
            </w:r>
          </w:p>
        </w:tc>
      </w:tr>
      <w:tr w14:paraId="5157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tcMar>
              <w:top w:w="0" w:type="dxa"/>
              <w:left w:w="0" w:type="dxa"/>
              <w:bottom w:w="0" w:type="dxa"/>
              <w:right w:w="0" w:type="dxa"/>
            </w:tcMar>
            <w:vAlign w:val="center"/>
          </w:tcPr>
          <w:p w14:paraId="1426B99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0" w:type="dxa"/>
            <w:tcMar>
              <w:top w:w="0" w:type="dxa"/>
              <w:left w:w="0" w:type="dxa"/>
              <w:bottom w:w="0" w:type="dxa"/>
              <w:right w:w="0" w:type="dxa"/>
            </w:tcMar>
            <w:vAlign w:val="center"/>
          </w:tcPr>
          <w:p w14:paraId="0C5481CA">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7579" w:type="dxa"/>
            <w:tcMar>
              <w:top w:w="0" w:type="dxa"/>
              <w:left w:w="0" w:type="dxa"/>
              <w:bottom w:w="0" w:type="dxa"/>
              <w:right w:w="0" w:type="dxa"/>
            </w:tcMar>
            <w:vAlign w:val="top"/>
          </w:tcPr>
          <w:p w14:paraId="7105421B">
            <w:pPr>
              <w:pStyle w:val="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1、实行绩效考核制进行付款：根据考核情况，按照不同等级进行付款，采购人在30日内(遇法定公休节假日顺延)以转帐方式按月结算支付前一月度服务经费。 2、发放等级：(1)考核得分≥85分，全额拨付当月实际保安服务经费。(2)80≤当月考核总分＜85分，扣当月保安服务经费的5%，拨付当月实际服务保安经费的95%。(3)当月考核总分＜80分，扣当月保安服务经费的20%,拨付当月实际服务保安经费的80%。(4)当月考核总分＜60分，视为不合格，不予发放当月保安服务经费；连续三个月考核总分＜80分的，采购人有权终止合同。3、经费采用“先服务后付费”的方式。4、具体以实际履行时间进行结算。</w:t>
            </w:r>
            <w:r>
              <w:rPr>
                <w:rFonts w:hint="eastAsia" w:ascii="宋体" w:hAnsi="宋体" w:eastAsia="宋体" w:cs="宋体"/>
                <w:b/>
                <w:color w:val="auto"/>
                <w:sz w:val="24"/>
                <w:szCs w:val="24"/>
                <w:highlight w:val="none"/>
              </w:rPr>
              <w:t>【招标文件中合同支付方式以此条为准】</w:t>
            </w:r>
          </w:p>
        </w:tc>
      </w:tr>
    </w:tbl>
    <w:p w14:paraId="4337E73C">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10、服务履约验收或考核</w:t>
      </w:r>
    </w:p>
    <w:p w14:paraId="5B67A04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10.1中标人应按照合同约定的服务内容和要求进行履约。</w:t>
      </w:r>
    </w:p>
    <w:p w14:paraId="57C08B1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10.2以上服务期间产生的所有相关服务工作及服务过程文档、招标文件、投标文件、均作为验收依据。</w:t>
      </w:r>
    </w:p>
    <w:p w14:paraId="1F544F5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10.3服务期结束后，采购人将按照保安工作考核表对中标人进行考核及验收。</w:t>
      </w:r>
    </w:p>
    <w:p w14:paraId="0FF42C81">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11、保密责任</w:t>
      </w:r>
    </w:p>
    <w:p w14:paraId="36BD107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11.1合同双方均不得将对方资料文件外传，否则承担因此给对方造成的经济损失赔偿责任。</w:t>
      </w:r>
    </w:p>
    <w:p w14:paraId="607C3DC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11.2本项目涉及双方各自的知识产权和商业秘密，对方应予严格保密。未经对方同意不得向第三方披露对方要求保密的信息，符合相关法律法规要求披露的除外。</w:t>
      </w:r>
    </w:p>
    <w:p w14:paraId="3CFE8BA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11.3若上述文件资料已经可以在公开渠道获得，则获得文件资料的一方无需承担保密义务。</w:t>
      </w:r>
    </w:p>
    <w:p w14:paraId="75573E9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12、违约责任：</w:t>
      </w:r>
    </w:p>
    <w:p w14:paraId="66D273BE">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12.1中标人应严格履行合同条款，中标人达不到采购合同及招标文件及考核要求的服务要求，采购人有权单方解除合同。</w:t>
      </w:r>
    </w:p>
    <w:p w14:paraId="7E1121F4">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12.2因中标人原因造成合同无法按时签订，视为中标人自行放弃中标资格，投标保证金不予退还。如投标保证金不能弥补中标人违约对采购人造成的损失的，中标人还需另行支付与履约保证金同等金额的赔偿。</w:t>
      </w:r>
    </w:p>
    <w:p w14:paraId="34B46DF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人不能按时交付服务的，每逾期一日，应按该合同款总额千分之三标准向采购人支付日违约金，逾期超过十五日的，采购人有权单方解除本项目合同，中标人除了应退还已收取的全部合同款外，同时中标人应向采购人偿付该合同款30%的违约金。</w:t>
      </w:r>
    </w:p>
    <w:p w14:paraId="3AC361B7">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12.4中标人所提供服务不符合本项目合同要求的，采购人有权要求中标人进行整改，在规定时间内未完成整改的，采购人有权单方解除合同，同时中标人应向采购人赔偿该合同款30%的违约金。</w:t>
      </w:r>
    </w:p>
    <w:p w14:paraId="316F20E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12.5合同签订之后，中标人未经采购人同意单方面终止合同的，中标人除了应向采购人赔偿因合同终止导致的损失外，还应向采购人偿付该合同款30%的违约金。</w:t>
      </w:r>
    </w:p>
    <w:p w14:paraId="6E4133CF">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若因中标人管理不善或派遣保安人员工作不力等原因导致学校安保执勤岗位和管理区域发生师生员工伤亡等安全责任事故，中标人承担全部责任，并报相关行政主管部门；发生重大安全事故或特大安全事故，除按国家有关安全管理规定及采购人有关安全管理办法执行外，采购人有权保留更换中标人的权利，给采购人造成的损失，还应承担赔偿责任。</w:t>
      </w:r>
    </w:p>
    <w:p w14:paraId="444DB95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12.7服务人员在工作期间发生违纪,按考核办法扣除相应服务费，造成损失的,还须向采购人支付赔偿金。</w:t>
      </w:r>
    </w:p>
    <w:p w14:paraId="4EBD67F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12.8中标人派遣的保安人员在服务期间，因操作不当损坏设施设备，中标人应承担相应赔偿。</w:t>
      </w:r>
    </w:p>
    <w:p w14:paraId="4A7CD0AD">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12.9在明确违约责任后，中标人应在接到书面通知书起七天内支付违约金、赔偿金等。</w:t>
      </w:r>
    </w:p>
    <w:p w14:paraId="625B3CD6">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12.10本项目不允许中标人以任何名义和理由进行转包，如有发现，视为中标人违约，采购人有权解除合同,中标人需向采购人支付违约金即1万元，造成损失的,还须向采购人支付赔偿金。</w:t>
      </w:r>
    </w:p>
    <w:p w14:paraId="1982FBF9">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13、解决争议的方法</w:t>
      </w:r>
    </w:p>
    <w:p w14:paraId="1357360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13.1采购人、中标人双方协商解决。</w:t>
      </w:r>
    </w:p>
    <w:p w14:paraId="6B24D71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13.2若协商解决不成，应向福州仲裁委员会提交仲裁申请。</w:t>
      </w:r>
    </w:p>
    <w:p w14:paraId="351751F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14、不可抗力</w:t>
      </w:r>
    </w:p>
    <w:p w14:paraId="7FD16DD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14.1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AB848AA">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14.2不可抗力指不能预见、不能避免、不能克服的客观情况，包括但不限于：自然灾害如地震、台风、洪水、火灾及政府行为、法律规定或其适用的变化或其他任何无法预见、避免或控制的事件。</w:t>
      </w:r>
    </w:p>
    <w:p w14:paraId="00A75743">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fill="FFFFFF"/>
        </w:rPr>
        <w:t>15、其他约定</w:t>
      </w:r>
    </w:p>
    <w:p w14:paraId="3B5F2F55">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15.1中标人应保证采购人在合同履约过程中不受第三方的指控或被国家税务机关检查中发现问题。</w:t>
      </w:r>
    </w:p>
    <w:p w14:paraId="66DC380B">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rPr>
        <w:t>15.2本合同未尽事宜，以招标文件、投标文件及合同附件为准。若投标文件的要求高于招标文件按高标准执行。</w:t>
      </w:r>
    </w:p>
    <w:p w14:paraId="5231FB5E">
      <w:pPr>
        <w:pStyle w:val="6"/>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14:paraId="675D72E8">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020679A0">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46B4A422">
      <w:pPr>
        <w:pStyle w:val="6"/>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38DBF29A">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5EEF489">
      <w:pPr>
        <w:pStyle w:val="6"/>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第六章 政府采购合同</w:t>
      </w:r>
    </w:p>
    <w:p w14:paraId="423AA12E">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参考文本</w:t>
      </w:r>
    </w:p>
    <w:p w14:paraId="083546F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03729976">
      <w:pPr>
        <w:pStyle w:val="6"/>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福建省政府采购合同（服务类）</w:t>
      </w:r>
    </w:p>
    <w:p w14:paraId="1322F693">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编制说明</w:t>
      </w:r>
      <w:r>
        <w:rPr>
          <w:rFonts w:hint="eastAsia" w:ascii="宋体" w:hAnsi="宋体" w:eastAsia="宋体" w:cs="宋体"/>
          <w:color w:val="auto"/>
          <w:sz w:val="24"/>
          <w:szCs w:val="24"/>
          <w:highlight w:val="none"/>
        </w:rPr>
        <w:br w:type="textWrapping"/>
      </w:r>
    </w:p>
    <w:p w14:paraId="346FAB7F">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1.签订合同应遵守《中华人民共和国政府采购法》及其实施条例、《中华人民共和国民法典》等法律法规及其他有关规定。</w:t>
      </w:r>
    </w:p>
    <w:p w14:paraId="34C97E5C">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4F2FB97E">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3.政府有关主管部门对若干合同有规范文本的，可使用相应合同文本。</w:t>
      </w:r>
    </w:p>
    <w:p w14:paraId="14350549">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4.本合同范本仅供参考，采购人应当根据采购项目的实际需求对合同条款进行修改、补充。</w:t>
      </w:r>
    </w:p>
    <w:p w14:paraId="3FDFA646">
      <w:pPr>
        <w:pStyle w:val="6"/>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211CBD6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住所地：________________</w:t>
      </w:r>
    </w:p>
    <w:p w14:paraId="14FB12C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联系人：________________</w:t>
      </w:r>
    </w:p>
    <w:p w14:paraId="5A83EAA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14:paraId="05D9174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传真：________________</w:t>
      </w:r>
    </w:p>
    <w:p w14:paraId="7E5A633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电子邮箱：________________</w:t>
      </w:r>
      <w:r>
        <w:rPr>
          <w:rFonts w:hint="eastAsia" w:ascii="宋体" w:hAnsi="宋体" w:eastAsia="宋体" w:cs="宋体"/>
          <w:color w:val="auto"/>
          <w:sz w:val="24"/>
          <w:szCs w:val="24"/>
          <w:highlight w:val="none"/>
        </w:rPr>
        <w:br w:type="textWrapping"/>
      </w:r>
    </w:p>
    <w:p w14:paraId="5AD2FF44">
      <w:pPr>
        <w:pStyle w:val="6"/>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 ________________</w:t>
      </w:r>
    </w:p>
    <w:p w14:paraId="1169ADA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住所地： ________________</w:t>
      </w:r>
    </w:p>
    <w:p w14:paraId="2F78B19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联系人：______________</w:t>
      </w:r>
    </w:p>
    <w:p w14:paraId="7346EEA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联系电话：______________</w:t>
      </w:r>
    </w:p>
    <w:p w14:paraId="2D86D3E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传真：________________</w:t>
      </w:r>
    </w:p>
    <w:p w14:paraId="24546A8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电子邮箱：________________</w:t>
      </w:r>
    </w:p>
    <w:p w14:paraId="4961D36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根据项目编号为___________ 的 __________项目（以下简称：“本项目”）的采购结果，遵循平等、自愿、公平和诚实信用的原则，双方签署本合同，具体内容如下：</w:t>
      </w:r>
    </w:p>
    <w:p w14:paraId="650C454E">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一、合同组成部分</w:t>
      </w:r>
    </w:p>
    <w:p w14:paraId="1BB20AE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1.1本合同条款及附件；</w:t>
      </w:r>
    </w:p>
    <w:p w14:paraId="116AAB6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1.2采购文件及其附件、补充文件；</w:t>
      </w:r>
    </w:p>
    <w:p w14:paraId="751219B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1.3乙方的响应文件及其附件、补充文件；</w:t>
      </w:r>
    </w:p>
    <w:p w14:paraId="440E643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1.4其他文件或材料：</w:t>
      </w:r>
    </w:p>
    <w:p w14:paraId="5E2582BD">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二、合同标的</w:t>
      </w:r>
      <w:r>
        <w:rPr>
          <w:rFonts w:hint="eastAsia" w:ascii="宋体" w:hAnsi="宋体" w:eastAsia="宋体" w:cs="宋体"/>
          <w:color w:val="auto"/>
          <w:sz w:val="24"/>
          <w:szCs w:val="24"/>
          <w:highlight w:val="none"/>
        </w:rPr>
        <w:br w:type="textWrapping"/>
      </w:r>
    </w:p>
    <w:p w14:paraId="7C61B0BC">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三、价格形式及合同价款</w:t>
      </w:r>
    </w:p>
    <w:p w14:paraId="68F216FF">
      <w:pPr>
        <w:pStyle w:val="6"/>
        <w:jc w:val="left"/>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3.1价格形式</w:t>
      </w:r>
    </w:p>
    <w:p w14:paraId="032213F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固定单价合同。完成约定服务事项的含税合同单价为：人民币（大写）元（￥ _____________元）。</w:t>
      </w:r>
    </w:p>
    <w:p w14:paraId="6CAB3268">
      <w:pPr>
        <w:pStyle w:val="6"/>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固定总价合同。完成约定服务事项的含税服务费用为：人民币（大写）元（￥_____________ 元）。</w:t>
      </w:r>
    </w:p>
    <w:p w14:paraId="245DFE8E">
      <w:pPr>
        <w:pStyle w:val="6"/>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其他方式。</w:t>
      </w:r>
    </w:p>
    <w:p w14:paraId="317A1411">
      <w:pPr>
        <w:pStyle w:val="6"/>
        <w:spacing w:line="300" w:lineRule="auto"/>
        <w:jc w:val="left"/>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3.2合同价款包含范围</w:t>
      </w:r>
    </w:p>
    <w:p w14:paraId="299096FA">
      <w:pPr>
        <w:pStyle w:val="6"/>
        <w:jc w:val="left"/>
        <w:outlineLvl w:val="4"/>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3.3其他需说明的事项：</w:t>
      </w:r>
    </w:p>
    <w:p w14:paraId="7B5821B1">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四、合同标的及服务范围、地点和时间</w:t>
      </w:r>
    </w:p>
    <w:p w14:paraId="6A6343F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4.1项目名称： _____________</w:t>
      </w:r>
    </w:p>
    <w:p w14:paraId="3B78DCF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4.2服务范围：_____________</w:t>
      </w:r>
    </w:p>
    <w:p w14:paraId="76EFFED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4.3服务地点：_____________</w:t>
      </w:r>
    </w:p>
    <w:p w14:paraId="79B4F90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4.4服务完成时间：_____________</w:t>
      </w:r>
    </w:p>
    <w:p w14:paraId="51BAB2BE">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五、服务内容、质量标准和要求</w:t>
      </w:r>
    </w:p>
    <w:p w14:paraId="1966B4A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5.1服务工作量的计量方式：_____________</w:t>
      </w:r>
    </w:p>
    <w:p w14:paraId="40D77B3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5.2服务内容：_____________</w:t>
      </w:r>
    </w:p>
    <w:p w14:paraId="3E7C19E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5.3技术保障、服务人员组成、所涉及的货物的质量标准：</w:t>
      </w:r>
    </w:p>
    <w:p w14:paraId="7492BA2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（1）服务技术保障：_____________</w:t>
      </w:r>
    </w:p>
    <w:p w14:paraId="1F71887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（2）服务人员组成：_____________</w:t>
      </w:r>
    </w:p>
    <w:p w14:paraId="49DB11A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（3）服务设备及物资投入及质量标准：_____________</w:t>
      </w:r>
    </w:p>
    <w:p w14:paraId="570282C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5.4服务质量标准及要求：</w:t>
      </w:r>
    </w:p>
    <w:p w14:paraId="1DF2F79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D7197E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4611B5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5.4.3其他要求：</w:t>
      </w:r>
    </w:p>
    <w:p w14:paraId="0A560B39">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六、服务履约验收或考核</w:t>
      </w:r>
    </w:p>
    <w:p w14:paraId="0CDE097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2B839F40">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七、甲方的权利与义务</w:t>
      </w:r>
    </w:p>
    <w:p w14:paraId="354A8CF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7.1甲方委派___________为联系人，联系方式 ___________，负责与乙方联系。如甲方联系人发生变更，甲方应书面告知乙方。</w:t>
      </w:r>
    </w:p>
    <w:p w14:paraId="0A52601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7.2甲方应为乙方开展服务工作提供必要的工作条件，以及对内对外沟通和配合协助。</w:t>
      </w:r>
    </w:p>
    <w:p w14:paraId="6A146D7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7.3甲方应于___________之前提供服务所需的全部资料，并对所提供材料真实性、完整性、合法性负责。</w:t>
      </w:r>
    </w:p>
    <w:p w14:paraId="4370A2D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C54835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7.5甲方应按本合同约定及时足额支付服务费用及相关费用。</w:t>
      </w:r>
    </w:p>
    <w:p w14:paraId="37AC807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7.6其他</w:t>
      </w:r>
    </w:p>
    <w:p w14:paraId="33D015A7">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八、乙方的权利与义务</w:t>
      </w:r>
    </w:p>
    <w:p w14:paraId="28EAEC7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8.1乙方委派___________为联系人，联系方式 ___________，负责与甲方联系。如乙方联系人发生变更，乙方应书面告知甲方</w:t>
      </w:r>
    </w:p>
    <w:p w14:paraId="631E4F9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8.2乙方应国家法律法规和{{乙方的权利与义务-响应要求-福建}}等要求开展{{乙方的权利与义务-开展服务-福建}}服务；</w:t>
      </w:r>
    </w:p>
    <w:p w14:paraId="12A65F5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8.3乙方及其所委派服务人员应按标准或协议约定方式出具服务成果，并对其真实性和合法性负法律责任；</w:t>
      </w:r>
    </w:p>
    <w:p w14:paraId="4A349B9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14:paraId="68FB770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8.5乙方对服务业务应当单独建档，保存完整的工作记录，并对服务过程使用和暂存甲方的文件、材料和财物应当妥善保管。</w:t>
      </w:r>
    </w:p>
    <w:p w14:paraId="5975F84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8.6服务工作结束后,乙方将根据情况对甲方服务相关的管理制度及其他事项等提出改进意见。</w:t>
      </w:r>
    </w:p>
    <w:p w14:paraId="3CE5E4E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8.7乙方完全遵守《中华人民共和国劳动合同法》有关规定和《中华人民共和国妇女权益保障法》中关于“劳动和社会保障权益”的有关要求。</w:t>
      </w:r>
    </w:p>
    <w:p w14:paraId="00A7921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8.8其他</w:t>
      </w:r>
    </w:p>
    <w:p w14:paraId="5F13E6E2">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九、资金支付方式、时间和条件</w:t>
      </w:r>
      <w:r>
        <w:rPr>
          <w:rFonts w:hint="eastAsia" w:ascii="宋体" w:hAnsi="宋体" w:eastAsia="宋体" w:cs="宋体"/>
          <w:color w:val="auto"/>
          <w:sz w:val="24"/>
          <w:szCs w:val="24"/>
          <w:highlight w:val="none"/>
        </w:rPr>
        <w:br w:type="textWrapping"/>
      </w:r>
    </w:p>
    <w:p w14:paraId="561D55FF">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十、履约保证金</w:t>
      </w:r>
    </w:p>
    <w:p w14:paraId="03B0374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□有，□无。具体如下：（按照采购文件规定填写）。</w:t>
      </w:r>
    </w:p>
    <w:p w14:paraId="6A14AA8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10.1乙方向甲方缴纳人民币 / 元作为本合同的履约保证金。</w:t>
      </w:r>
    </w:p>
    <w:p w14:paraId="3972CD7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10.2履约保证金缴纳形式：支票/汇票/电汇/保函等非现金形式。</w:t>
      </w:r>
    </w:p>
    <w:p w14:paraId="2A9D0A7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10.3履约保证金合同履行完毕前有效，合同履行完毕后一次性结清退还。</w:t>
      </w:r>
    </w:p>
    <w:p w14:paraId="3DC3F3D1">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十一、合同期限</w:t>
      </w:r>
      <w:r>
        <w:rPr>
          <w:rFonts w:hint="eastAsia" w:ascii="宋体" w:hAnsi="宋体" w:eastAsia="宋体" w:cs="宋体"/>
          <w:color w:val="auto"/>
          <w:sz w:val="24"/>
          <w:szCs w:val="24"/>
          <w:highlight w:val="none"/>
        </w:rPr>
        <w:br w:type="textWrapping"/>
      </w:r>
    </w:p>
    <w:p w14:paraId="76140AC2">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十二、保密条款</w:t>
      </w:r>
    </w:p>
    <w:p w14:paraId="1EA20C1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12.1对于在采购和合同履行过程中所获悉的属于保密的内容，甲、乙双方均负有保密义务。</w:t>
      </w:r>
    </w:p>
    <w:p w14:paraId="4D6BD47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12.2其他</w:t>
      </w:r>
    </w:p>
    <w:p w14:paraId="51D6F77C">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十三、违约责任</w:t>
      </w:r>
    </w:p>
    <w:p w14:paraId="6F76DF6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13.1甲方违约责任</w:t>
      </w:r>
    </w:p>
    <w:p w14:paraId="4E01CE9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（1）甲方无正当理由拒绝乙方提供合格服务的，甲方应向乙方偿付所拒收合同总价________的违约金</w:t>
      </w:r>
    </w:p>
    <w:p w14:paraId="114EDF2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（2）甲方无故逾期验收和办理合同款项支付手续的,甲方应按逾期付款总额每日________向乙方支付违约金。</w:t>
      </w:r>
    </w:p>
    <w:p w14:paraId="5F11BEE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（3）其他违约情形</w:t>
      </w:r>
    </w:p>
    <w:p w14:paraId="216E03A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13.2乙方违约责任</w:t>
      </w:r>
    </w:p>
    <w:p w14:paraId="5C2C03D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15A7913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（2）乙方所履行的服务不符合合同规定及《采购文件》规定标准的，甲方有权拒绝，乙方愿意整改但逾期履行的，按乙方逾期履行处理。乙方拒绝整改的，视为“乙方不按合同约定履约”</w:t>
      </w:r>
    </w:p>
    <w:p w14:paraId="0B13C6F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（3）乙方不按合同约定履约的，甲方可以解除采购合同，并对乙方已缴纳的履约保证金作“不予退还”处理。同时，乙方须按以下约定向甲方支付违约金：</w:t>
      </w:r>
    </w:p>
    <w:p w14:paraId="698FA43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（4）其他违约情形</w:t>
      </w:r>
    </w:p>
    <w:p w14:paraId="7154772C">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十四、不可抗力事件处理</w:t>
      </w:r>
    </w:p>
    <w:p w14:paraId="62F3F4A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B2F2D7E">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十五、解决争议的方法</w:t>
      </w:r>
    </w:p>
    <w:p w14:paraId="248D21E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15.1甲、乙双方协商解决。</w:t>
      </w:r>
    </w:p>
    <w:p w14:paraId="0AE5195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15.2若协商解决不成，双方明确按以下第_种方式解决：</w:t>
      </w:r>
    </w:p>
    <w:p w14:paraId="255DA2C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1、提交仲裁委员会仲裁，具体如下：</w:t>
      </w:r>
    </w:p>
    <w:p w14:paraId="6768F79F">
      <w:pPr>
        <w:pStyle w:val="6"/>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2、向人民法院提起诉讼。</w:t>
      </w:r>
    </w:p>
    <w:p w14:paraId="06C17251">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十六、合同其他条款</w:t>
      </w:r>
      <w:r>
        <w:rPr>
          <w:rFonts w:hint="eastAsia" w:ascii="宋体" w:hAnsi="宋体" w:eastAsia="宋体" w:cs="宋体"/>
          <w:color w:val="auto"/>
          <w:sz w:val="24"/>
          <w:szCs w:val="24"/>
          <w:highlight w:val="none"/>
        </w:rPr>
        <w:br w:type="textWrapping"/>
      </w:r>
    </w:p>
    <w:p w14:paraId="3D4F8F2B">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十七、其他约定</w:t>
      </w:r>
    </w:p>
    <w:p w14:paraId="5CB2929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17.1合同文件与本合同具有同等法律效力。</w:t>
      </w:r>
    </w:p>
    <w:p w14:paraId="0F236F1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7CC1D6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17.3本合同未尽事宜，遵照《中华人民共和国民法典》有关条文执行。</w:t>
      </w:r>
    </w:p>
    <w:p w14:paraId="26C49F1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17.4本合同正本一式_______份，具有同等法律效力，甲方、乙方各执_______份；副本_______份，_______</w:t>
      </w:r>
    </w:p>
    <w:p w14:paraId="53EDCF0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17.5本合同已用于政府采购合同融资，为本项目提供合同融资的金融机构为：_______，甲方应及时将资金支付到本合同乙方账号。</w:t>
      </w:r>
    </w:p>
    <w:p w14:paraId="33BDE62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中标（成交）供应商应于采购合同签订之日起_______内，向发放政采贷的金融机构提交政府采购中标（成交）通知书和政府采购合同，贷款金额以政府采购合同金额为限。</w:t>
      </w:r>
    </w:p>
    <w:p w14:paraId="4CF2BE4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17.6其他</w:t>
      </w:r>
    </w:p>
    <w:p w14:paraId="7F09E5EF">
      <w:pPr>
        <w:pStyle w:val="6"/>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十八、合同附件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413CD03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甲方（采购人）：</w:t>
      </w:r>
    </w:p>
    <w:p w14:paraId="545AB5C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w:t>
      </w:r>
    </w:p>
    <w:p w14:paraId="4A488AE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纳税人识别号：</w:t>
      </w:r>
    </w:p>
    <w:p w14:paraId="62A1E87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14:paraId="57FC8F2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0F2CC44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乙方（中标或成交人）：</w:t>
      </w:r>
    </w:p>
    <w:p w14:paraId="167D65F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w:t>
      </w:r>
    </w:p>
    <w:p w14:paraId="77C88E3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纳税人识别号：</w:t>
      </w:r>
    </w:p>
    <w:p w14:paraId="4EC357F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14:paraId="2D2309A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1939A98D">
      <w:pPr>
        <w:pStyle w:val="6"/>
        <w:jc w:val="left"/>
        <w:rPr>
          <w:rFonts w:hint="eastAsia" w:ascii="宋体" w:hAnsi="宋体" w:eastAsia="宋体" w:cs="宋体"/>
          <w:color w:val="auto"/>
          <w:sz w:val="24"/>
          <w:szCs w:val="24"/>
          <w:highlight w:val="none"/>
        </w:rPr>
      </w:pPr>
    </w:p>
    <w:p w14:paraId="769CC48F">
      <w:pPr>
        <w:pStyle w:val="6"/>
        <w:jc w:val="left"/>
        <w:rPr>
          <w:rFonts w:hint="eastAsia" w:ascii="宋体" w:hAnsi="宋体" w:eastAsia="宋体" w:cs="宋体"/>
          <w:color w:val="auto"/>
          <w:sz w:val="24"/>
          <w:szCs w:val="24"/>
          <w:highlight w:val="none"/>
        </w:rPr>
      </w:pPr>
    </w:p>
    <w:p w14:paraId="171FD35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签订地点：_____________</w:t>
      </w:r>
    </w:p>
    <w:p w14:paraId="42F8600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签订日期：____年___月___日</w:t>
      </w:r>
    </w:p>
    <w:p w14:paraId="3183CE29">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E8171DE">
      <w:pPr>
        <w:pStyle w:val="6"/>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第七章 电子投标文件格式</w:t>
      </w:r>
    </w:p>
    <w:p w14:paraId="0D2ED499">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编制说明</w:t>
      </w:r>
    </w:p>
    <w:p w14:paraId="07C412C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14:paraId="0F1C8F3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14:paraId="0CC9FCC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14:paraId="285B35F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14:paraId="00FED83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14:paraId="422B595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14:paraId="56272AA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14:paraId="2D98651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14:paraId="29E668A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14:paraId="7DF1A79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14:paraId="2191240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14:paraId="5707431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14:paraId="355FB25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2、除招标文件另有规定外，本章中“投标人的资格及资信证明文件”：</w:t>
      </w:r>
    </w:p>
    <w:p w14:paraId="7211971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14:paraId="3D790F6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2.2接受联合体投标且投标人为联合体的，联合体中的各方均应按照本章第2.1条规定提交相应的全部资料。</w:t>
      </w:r>
    </w:p>
    <w:p w14:paraId="53B5640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3、投标人对电子投标文件的索引应编制页码。</w:t>
      </w:r>
    </w:p>
    <w:p w14:paraId="29F1142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4、本章提供格式仅供参考，投标人应根据自身实际情况制作电子投标文件。</w:t>
      </w:r>
    </w:p>
    <w:p w14:paraId="0C9568C2">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450E4E4">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封面格式(资格及资信证明部分)</w:t>
      </w:r>
    </w:p>
    <w:p w14:paraId="5EF576C6">
      <w:pPr>
        <w:pStyle w:val="6"/>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福建省政府采购投标文件</w:t>
      </w:r>
    </w:p>
    <w:p w14:paraId="240F2C19">
      <w:pPr>
        <w:pStyle w:val="6"/>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（资格及资信证明部分）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2942F288">
      <w:pPr>
        <w:pStyle w:val="6"/>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（填写正本或副本）</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50439E53">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（项目名称：（由投标人填写）</w:t>
      </w:r>
    </w:p>
    <w:p w14:paraId="0C157550">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（备案编号：（由投标人填写）</w:t>
      </w:r>
    </w:p>
    <w:p w14:paraId="5A354BFE">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（项目编号：（由投标人填写）</w:t>
      </w:r>
    </w:p>
    <w:p w14:paraId="515FF633">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（所投采购包：（由投标人填写）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3ECE8BE1">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投标人：（填写“全称”）</w:t>
      </w:r>
    </w:p>
    <w:p w14:paraId="0DFDCC3E">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（由投标人填写）年（由投标人填写）月</w:t>
      </w:r>
    </w:p>
    <w:p w14:paraId="47A87B5B">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5ECF187">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14:paraId="12A384A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599F8A2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二、投标人的资格及资信证明文件</w:t>
      </w:r>
    </w:p>
    <w:p w14:paraId="15150F1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三、投标保证金</w:t>
      </w:r>
    </w:p>
    <w:p w14:paraId="3E9A6D0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6295F8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126DC3F2">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203B4F3">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一、投标函</w:t>
      </w:r>
    </w:p>
    <w:p w14:paraId="1B52D59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55D9119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w:t>
      </w:r>
      <w:r>
        <w:rPr>
          <w:rFonts w:hint="eastAsia" w:ascii="宋体" w:hAnsi="宋体" w:eastAsia="宋体" w:cs="宋体"/>
          <w:color w:val="auto"/>
          <w:sz w:val="24"/>
          <w:szCs w:val="24"/>
          <w:highlight w:val="none"/>
          <w:u w:val="single"/>
        </w:rPr>
        <w:t xml:space="preserve">（填写“项目名称”）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 xml:space="preserve">（项目编号：　　　　　） </w:t>
      </w:r>
      <w:r>
        <w:rPr>
          <w:rFonts w:hint="eastAsia" w:ascii="宋体" w:hAnsi="宋体" w:eastAsia="宋体" w:cs="宋体"/>
          <w:color w:val="auto"/>
          <w:sz w:val="24"/>
          <w:szCs w:val="24"/>
          <w:highlight w:val="none"/>
        </w:rPr>
        <w:t>的投标邀请，本投标人代表</w:t>
      </w:r>
      <w:r>
        <w:rPr>
          <w:rFonts w:hint="eastAsia" w:ascii="宋体" w:hAnsi="宋体" w:eastAsia="宋体" w:cs="宋体"/>
          <w:color w:val="auto"/>
          <w:sz w:val="24"/>
          <w:szCs w:val="24"/>
          <w:highlight w:val="none"/>
          <w:u w:val="single"/>
        </w:rPr>
        <w:t xml:space="preserve">（填写“全名”） </w:t>
      </w:r>
      <w:r>
        <w:rPr>
          <w:rFonts w:hint="eastAsia" w:ascii="宋体" w:hAnsi="宋体" w:eastAsia="宋体" w:cs="宋体"/>
          <w:color w:val="auto"/>
          <w:sz w:val="24"/>
          <w:szCs w:val="24"/>
          <w:highlight w:val="none"/>
        </w:rPr>
        <w:t>已获得我方正式授权并代表投标人（填写“全称”）参加投标，并提交电子投标文件。我方提交的全部电子投标文件由下述部分组成：</w:t>
      </w:r>
    </w:p>
    <w:p w14:paraId="261264E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14:paraId="01E6D69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14:paraId="58D39D4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14:paraId="2E68764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14:paraId="36D3484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14:paraId="1826490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14:paraId="7308DF8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14:paraId="49583CA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63DCD4F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14:paraId="0A11761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14:paraId="0662EDF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14:paraId="2FC3120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14:paraId="24D4961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14:paraId="5D0F1D0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14:paraId="4047E04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根据本函，本投标人代表宣布我方保证遵守招标文件的全部规定，同时：</w:t>
      </w:r>
    </w:p>
    <w:p w14:paraId="55A7D30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w:t>
      </w:r>
    </w:p>
    <w:p w14:paraId="23390C5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1.1所投采购包的投标报价详见“开标一览表”及“投标分项报价表”。</w:t>
      </w:r>
    </w:p>
    <w:p w14:paraId="0E366EC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67AF9C0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2、承诺及声明：</w:t>
      </w:r>
    </w:p>
    <w:p w14:paraId="735FD28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2.1我方具备招标文件第一章载明的“投标人的资格要求”且符合招标文件第三章载明的“二、投标人”之规定，否则投标无效。</w:t>
      </w:r>
    </w:p>
    <w:p w14:paraId="5915F29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4035B5F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2.3我方提供的标的价格不高于同期市场价格，否则产生不利后果由我方承担责任。</w:t>
      </w:r>
    </w:p>
    <w:p w14:paraId="5D9676A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2.4投标保证金：若出现招标文件第三章规定的不予退还情形，同意贵单位不予退还。</w:t>
      </w:r>
    </w:p>
    <w:p w14:paraId="0E5024C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2.5投标有效期：按照招标文件第三章规定执行，并在招标文件第二章载明的期限内保持有效。</w:t>
      </w:r>
    </w:p>
    <w:p w14:paraId="205C9D0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2.6若中标，将按照招标文件、我方电子投标文件及政府采购合同履行责任和义务。</w:t>
      </w:r>
    </w:p>
    <w:p w14:paraId="1398363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14:paraId="2DEB8E6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2.8我方承诺遵守《中华人民共和国劳动合同法》有关规定和《中华人民共和国妇女权益保障法 》中关于“劳动和社会保障权益”的有关要求。</w:t>
      </w:r>
    </w:p>
    <w:p w14:paraId="0BA2E12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2.9我方承诺电子投标文件所提供的全部资料真实可靠，并接受评标委员会、采购人、采购代理机构、监管部门进一步审查其中任何资料真实性的要求。</w:t>
      </w:r>
    </w:p>
    <w:p w14:paraId="0D868DA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2.10除招标文件另有规定外，对于贵单位按照下述联络方式发出的任何信息或通知，均视为我方已收悉前述信息或通知的全部内容：</w:t>
      </w:r>
    </w:p>
    <w:p w14:paraId="38DB786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通信地址：                                        </w:t>
      </w:r>
    </w:p>
    <w:p w14:paraId="2CE1BE2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邮编：                                           </w:t>
      </w:r>
    </w:p>
    <w:p w14:paraId="16969AF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联系方法：（包括但不限于：联系人、联系电话、手机、传真、电子邮箱等）</w:t>
      </w:r>
    </w:p>
    <w:p w14:paraId="6D75562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14:paraId="0236060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D15EAC0">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B7F7951">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二、投标人的资格及资信证明文件</w:t>
      </w:r>
    </w:p>
    <w:p w14:paraId="1D0A6DEE">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二-1单位授权书（若有）</w:t>
      </w:r>
    </w:p>
    <w:p w14:paraId="3CAC417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446AF9A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（填写“投标人代表全名”）</w:t>
      </w:r>
      <w:r>
        <w:rPr>
          <w:rFonts w:hint="eastAsia" w:ascii="宋体" w:hAnsi="宋体" w:eastAsia="宋体" w:cs="宋体"/>
          <w:color w:val="auto"/>
          <w:sz w:val="24"/>
          <w:szCs w:val="24"/>
          <w:highlight w:val="none"/>
        </w:rPr>
        <w:t>为投标人代表，代表我方参加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6B13D4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投标人代表无转委权。特此授权。</w:t>
      </w:r>
    </w:p>
    <w:p w14:paraId="443D359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61AD116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4193907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152A802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15BC592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526E892">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14:paraId="23154AF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附：单位负责人、投标人代表的身份证正反面复印件</w:t>
      </w:r>
    </w:p>
    <w:p w14:paraId="62F60E88">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要求：真实有效且内容完整、清晰、整洁。</w:t>
      </w:r>
    </w:p>
    <w:p w14:paraId="78BA791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1862A8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14:paraId="1E5FD1F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011FF8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1780DCE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4、投标人为自然人的，可不填写本授权书。</w:t>
      </w:r>
    </w:p>
    <w:p w14:paraId="6E86450E">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BDB2F3D">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二-2营业执照等证明文件</w:t>
      </w:r>
    </w:p>
    <w:p w14:paraId="31BF30A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E5B63D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）投标人为法人（包括企业、事业单位和社会团体）的</w:t>
      </w:r>
    </w:p>
    <w:p w14:paraId="4F9731A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签发的我方统一社会信用代码（请填写法人的具体证照名称）复印件，该证明材料真实有效，否则我方负全部责任。</w:t>
      </w:r>
    </w:p>
    <w:p w14:paraId="26A888A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）投标人为非法人（包括其他组织、自然人）的</w:t>
      </w:r>
    </w:p>
    <w:p w14:paraId="19D5F5E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签发的我方（请填写非自然人的非法人的具体证照名称）复印件，该证明材料真实有效，否则我方负全部责任。</w:t>
      </w:r>
    </w:p>
    <w:p w14:paraId="0F504DC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签发的我方（请填写自然人的身份证件名称）复印件，该证明材料真实有效，否则我方负全部责任。</w:t>
      </w:r>
    </w:p>
    <w:p w14:paraId="251F26C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1AF9230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14:paraId="7D7B401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894DD55">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00E725CE">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F6851D4">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3A7D559">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二-3财务状况报告（财务报告、或资信证明）</w:t>
      </w:r>
    </w:p>
    <w:p w14:paraId="4C2AC8C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577BD6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）投标人提供财务报告的</w:t>
      </w:r>
    </w:p>
    <w:p w14:paraId="0B00AF1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（填写“具体的年度、或半年度、季度”）</w:t>
      </w:r>
      <w:r>
        <w:rPr>
          <w:rFonts w:hint="eastAsia" w:ascii="宋体" w:hAnsi="宋体" w:eastAsia="宋体" w:cs="宋体"/>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6288EDE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1DB1B64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14:paraId="40D8B11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）投标人提供资信证明的</w:t>
      </w:r>
    </w:p>
    <w:p w14:paraId="621AB1F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2F4206F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3696287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E773F5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14:paraId="0ED652E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2、投标人提供的财务报告复印件（成立年限按照投标截止时间推算）应符合下列规定：</w:t>
      </w:r>
    </w:p>
    <w:p w14:paraId="3FC55A4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2.1成立年限满1年及以上的投标人，提供经审计的招标文件规定的年度财务报告。</w:t>
      </w:r>
    </w:p>
    <w:p w14:paraId="46AF997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2.2成立年限满半年但不足1年的投标人，提供该半年度中任一季度的季度财务报告或该半年度的半年度财务报告。</w:t>
      </w:r>
    </w:p>
    <w:p w14:paraId="3DA164F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4B6139D">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B28859F">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D512565">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7A68E82">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二-4依法缴纳税收证明材料</w:t>
      </w:r>
    </w:p>
    <w:p w14:paraId="06A4257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C8C90A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1、依法缴纳税收的投标人</w:t>
      </w:r>
    </w:p>
    <w:p w14:paraId="53E7E35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5A0A073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63BB0B2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65F9CCC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495C249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2、依法免税的投标人</w:t>
      </w:r>
    </w:p>
    <w:p w14:paraId="47053E6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）现附上我方依法免税的证明材料复印件，上述证明材料真实有效，否则我方负全部责任。</w:t>
      </w:r>
    </w:p>
    <w:p w14:paraId="3B15933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19BE3EC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14:paraId="674AB1C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2、投标人提供的税收缴纳凭据复印件应符合下列规定：</w:t>
      </w:r>
    </w:p>
    <w:p w14:paraId="264922F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523D66B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14:paraId="56599E2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3、若为依法免税范围的投标人，提供依法免税证明材料的，视同满足本项资格条件要求。</w:t>
      </w:r>
    </w:p>
    <w:p w14:paraId="08A95FF8">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02777274">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D945CBD">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6A49883">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二-5依法缴纳社会保障资金证明材料</w:t>
      </w:r>
    </w:p>
    <w:p w14:paraId="1D699C5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81D01F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1、依法缴纳社会保障资金的投标人</w:t>
      </w:r>
    </w:p>
    <w:p w14:paraId="7008F80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5EB549A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19CEA1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3A475B6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0EA57F6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2、依法不需要缴纳或暂缓缴纳社会保障资金的投标人</w:t>
      </w:r>
    </w:p>
    <w:p w14:paraId="5C0F07E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）现附上我方依法不需要缴纳或暂缓缴纳社会保障资金证明材料复印件，上述证明材料真实有效，否则我方负全部责任。</w:t>
      </w:r>
    </w:p>
    <w:p w14:paraId="21AE88E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C9131E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14:paraId="3CE1B95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2、投标人提供的社会保障资金缴纳凭据复印件应符合下列规定：</w:t>
      </w:r>
    </w:p>
    <w:p w14:paraId="54904C9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5A21E5E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14:paraId="086FEAC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3、若为依法不需要缴纳或暂缓缴纳社会保障资金的投标人，提供依法不需要缴纳或暂缓缴纳社会保障资金证明材料的，视同满足本项资格条件要求。</w:t>
      </w:r>
    </w:p>
    <w:p w14:paraId="199143CB">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1556F393">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DEC6EE8">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6E94706">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二-6具备履行合同所必需设备和专业技术能力的声明函（若有）</w:t>
      </w:r>
    </w:p>
    <w:p w14:paraId="353E4AC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FD127C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14:paraId="1A9912CE">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6487CB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6F0C1C0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1、招标文件未要求投标人提供“具备履行合同所必需的设备和专业技术能力专项证明材料”的，投标人应提供本声明函。</w:t>
      </w:r>
    </w:p>
    <w:p w14:paraId="709D08E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2、招标文件要求投标人提供“具备履行合同所必需的设备和专业技术能力专项证明材料”的，投标人可不提供本声明函。</w:t>
      </w:r>
    </w:p>
    <w:p w14:paraId="67578BB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3、请投标人根据实际情况如实声明，否则视为提供虚假材料。</w:t>
      </w:r>
    </w:p>
    <w:p w14:paraId="3EF3119F">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161E5B99">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48E352C">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AE7BA06">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二-7参加采购活动前三年内在经营活动中没有重大违法记录书面声明</w:t>
      </w:r>
    </w:p>
    <w:p w14:paraId="49C7812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2B7C04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20B55B87">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F201F5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051F91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0D9FC0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请投标人根据实际情况如实声明，否则视为提供虚假材料。</w:t>
      </w:r>
    </w:p>
    <w:p w14:paraId="062BE6FD">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507DD9BF">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3F20D54F">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3EB71772">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二-8信用记录查询提示</w:t>
      </w:r>
    </w:p>
    <w:p w14:paraId="5D8C80A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1、由资格审查小组通过网站查询并打印投标人的信用记录。</w:t>
      </w:r>
    </w:p>
    <w:p w14:paraId="41A108A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B2207D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5D446EC">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BA983B1">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二-9中小企业声明函</w:t>
      </w:r>
    </w:p>
    <w:p w14:paraId="74D5E807">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14:paraId="227B4500">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14:paraId="1CE4A99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2DA3045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7C20E2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42B992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3DD50A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26AA08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B030CC8">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5E4C0DA3">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4DBB871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6C1FEB9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76C975C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65BBB4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F8535FF">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D6E87A1">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14:paraId="368A840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FE93D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33CB0F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D05F87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92259B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16A15C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0E1AB86">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6E4FDD5">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3DCE226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AB31C0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775C2A7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93A180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9488747">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6BBEB17">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w:t>
      </w:r>
    </w:p>
    <w:p w14:paraId="0C15022E">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14:paraId="57F633A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9D30B6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9F27A7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14:paraId="62ADE2D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14:paraId="703D2EC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14:paraId="404779A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A4C009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14:paraId="5F4C640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14:paraId="55A7A45C">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5274670F">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8E0067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62A70B06">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14:paraId="0934AF1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1F50A82E">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12866D6">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二-10联合体协议（若有）</w:t>
      </w:r>
    </w:p>
    <w:p w14:paraId="306E687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7DB0D7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）的投标。现就联合体参加本项目投标的有关事宜达成下列协议：</w:t>
      </w:r>
    </w:p>
    <w:p w14:paraId="70E1344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14:paraId="094951B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1、牵头方（全称）：</w:t>
      </w:r>
      <w:r>
        <w:rPr>
          <w:rFonts w:hint="eastAsia" w:ascii="宋体" w:hAnsi="宋体" w:eastAsia="宋体" w:cs="宋体"/>
          <w:color w:val="auto"/>
          <w:sz w:val="24"/>
          <w:szCs w:val="24"/>
          <w:highlight w:val="none"/>
          <w:u w:val="single"/>
        </w:rPr>
        <w:t xml:space="preserve">（填写“工作及义务的具体内容”） </w:t>
      </w:r>
      <w:r>
        <w:rPr>
          <w:rFonts w:hint="eastAsia" w:ascii="宋体" w:hAnsi="宋体" w:eastAsia="宋体" w:cs="宋体"/>
          <w:color w:val="auto"/>
          <w:sz w:val="24"/>
          <w:szCs w:val="24"/>
          <w:highlight w:val="none"/>
        </w:rPr>
        <w:t>；</w:t>
      </w:r>
    </w:p>
    <w:p w14:paraId="5D878AC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54827A3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2.1（成员一的全称）：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 xml:space="preserve"> ；</w:t>
      </w:r>
    </w:p>
    <w:p w14:paraId="51B05B7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E787BF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二、联合体各方的合同金额占比，具体如下：</w:t>
      </w:r>
    </w:p>
    <w:p w14:paraId="0C39E45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 xml:space="preserve"> 全称</w:t>
      </w:r>
      <w:r>
        <w:rPr>
          <w:rFonts w:hint="eastAsia" w:ascii="宋体" w:hAnsi="宋体" w:eastAsia="宋体" w:cs="宋体"/>
          <w:color w:val="auto"/>
          <w:sz w:val="24"/>
          <w:szCs w:val="24"/>
          <w:highlight w:val="none"/>
        </w:rPr>
        <w:t xml:space="preserve"> ）的合同金额占合同总额的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0A24D7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740C63F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 xml:space="preserve"> 成员1的全称 </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B6DB2C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B1F55B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w:t>
      </w:r>
    </w:p>
    <w:p w14:paraId="417EC2D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E4B121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（填写“牵头方的全称”）代表联合体办理投标保证金事宜。</w:t>
      </w:r>
    </w:p>
    <w:p w14:paraId="3EC8AD7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987068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123FDF5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五、本协议自签署之日起生效，政府采购合同履行完毕后自动失效。</w:t>
      </w:r>
    </w:p>
    <w:p w14:paraId="2AD123A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份，联合体各方各执一份，电子投标文件中提交一份。</w:t>
      </w:r>
    </w:p>
    <w:p w14:paraId="578B0C8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3D8BBBD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14:paraId="5EA1D76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700D71A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14:paraId="3182175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1B2EAE4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F09B6D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14:paraId="4884A94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77581DCC">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年　　月　　日</w:t>
      </w:r>
    </w:p>
    <w:p w14:paraId="782C3AE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8B773C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1、招标文件接受联合体投标且投标人为联合体的，投标人应提供本协议；否则无须提供。</w:t>
      </w:r>
    </w:p>
    <w:p w14:paraId="38F8750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022AEC1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3、在以联合体形式落实中小企业预留份额项目中，投标人除了要提供《中小企业声明函》，还需提供本协议。</w:t>
      </w:r>
    </w:p>
    <w:p w14:paraId="41CE9E14">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C5071B6">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二-11分包意向协议（若有）</w:t>
      </w:r>
    </w:p>
    <w:p w14:paraId="4B92F0D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甲方（总包方）：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（即本项目的投标人）</w:t>
      </w:r>
    </w:p>
    <w:p w14:paraId="1CB7E72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乙方（分包方）：</w:t>
      </w:r>
      <w:r>
        <w:rPr>
          <w:rFonts w:hint="eastAsia" w:ascii="宋体" w:hAnsi="宋体" w:eastAsia="宋体" w:cs="宋体"/>
          <w:color w:val="auto"/>
          <w:sz w:val="24"/>
          <w:szCs w:val="24"/>
          <w:highlight w:val="none"/>
          <w:u w:val="single"/>
        </w:rPr>
        <w:t>　　　　　　　</w:t>
      </w:r>
    </w:p>
    <w:p w14:paraId="5D0E2FC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兹有甲方参加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708482D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一、分包标的</w:t>
      </w:r>
    </w:p>
    <w:p w14:paraId="3CE9D32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（根据双方的意向填写，可以是表格或文字描述）。</w:t>
      </w:r>
    </w:p>
    <w:p w14:paraId="726CAA5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二、分包合同金额占比</w:t>
      </w:r>
    </w:p>
    <w:p w14:paraId="163865A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分包合同价占投标总价的比例：</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878D5C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三、其他条款</w:t>
      </w:r>
    </w:p>
    <w:p w14:paraId="0346D84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C458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CE2E0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4153" w:type="dxa"/>
          </w:tcPr>
          <w:p w14:paraId="1F51BCD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14:paraId="23AFC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8F4B2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4153" w:type="dxa"/>
          </w:tcPr>
          <w:p w14:paraId="09A8769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14:paraId="12AE4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02C22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4153" w:type="dxa"/>
          </w:tcPr>
          <w:p w14:paraId="7FD93C7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14:paraId="6206E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9B08A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4153" w:type="dxa"/>
          </w:tcPr>
          <w:p w14:paraId="24A7800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14:paraId="1DD08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CB8D9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153" w:type="dxa"/>
          </w:tcPr>
          <w:p w14:paraId="172CF2E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7193F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0A77B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153" w:type="dxa"/>
          </w:tcPr>
          <w:p w14:paraId="35E8782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6F449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E49911C">
            <w:pPr>
              <w:pStyle w:val="6"/>
              <w:ind w:firstLine="96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14:paraId="0860D6B4">
            <w:pPr>
              <w:pStyle w:val="6"/>
              <w:ind w:firstLine="96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14:paraId="27F2742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D979FF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1.招标文件接受合同分包且投标人拟将合同分包的，应提供本协议；否则无须提供。</w:t>
      </w:r>
    </w:p>
    <w:p w14:paraId="35723A6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08CBC5D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3.在以合同分包形式落实中小企业预留份额项目中，投标人除了要提供《中小企业声明函》，还需提供本协议。</w:t>
      </w:r>
    </w:p>
    <w:p w14:paraId="5DEEBA84">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1AF5DE8">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二-12其他资格证明文件（若有）</w:t>
      </w:r>
    </w:p>
    <w:p w14:paraId="2427D101">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二-12-①具备履行合同所必需设备和专业技术能力专项证明材料（若有）</w:t>
      </w:r>
    </w:p>
    <w:p w14:paraId="3CFC60D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5F1F98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现附上我方具备履行合同所必需的设备和专业技术能力的专项证明材料复印件（具体附后），上述证明材料真实有效，否则我方负全部责任。</w:t>
      </w:r>
    </w:p>
    <w:p w14:paraId="13FD24D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9D89DF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1、招标文件要求投标人提供“具备履行合同所必需的设备和专业技术能力专项证明材料”的，投标人应按照招标文件规定在此项下提供相应证明材料复印件。</w:t>
      </w:r>
    </w:p>
    <w:p w14:paraId="1A3AC7E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2、投标人提供的相应证明材料复印件均应符合：内容完整、清晰、整洁，并由投标人加盖其单位公章。</w:t>
      </w:r>
    </w:p>
    <w:p w14:paraId="12BF9953">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C153786">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D0E7D38">
      <w:pPr>
        <w:pStyle w:val="6"/>
        <w:ind w:firstLine="9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75DB664">
      <w:pPr>
        <w:pStyle w:val="6"/>
        <w:ind w:firstLine="960"/>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二-12-②招标文件规定的其他资格证明文件（若有）</w:t>
      </w:r>
    </w:p>
    <w:p w14:paraId="355523F3">
      <w:pPr>
        <w:pStyle w:val="6"/>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4C586F9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14:paraId="15C663A2">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78D2AA9">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三、投标保证金</w:t>
      </w:r>
    </w:p>
    <w:p w14:paraId="5E1C17E1">
      <w:pPr>
        <w:pStyle w:val="6"/>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08F50A4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1、在此项下提交的“投标保证金”材料可使用转账凭证复印件或从福建省政府采购网上公开信息系统中下载的有关原始页面的打印件。</w:t>
      </w:r>
    </w:p>
    <w:p w14:paraId="2E0B6CE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2、投标保证金是否已提交的认定按照招标文件第三章规定执行。</w:t>
      </w:r>
    </w:p>
    <w:p w14:paraId="2380B6DA">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1A5630F">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封面格式(报价部分)</w:t>
      </w:r>
    </w:p>
    <w:p w14:paraId="5E88ABB4">
      <w:pPr>
        <w:pStyle w:val="6"/>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福建省政府采购投标文件</w:t>
      </w:r>
    </w:p>
    <w:p w14:paraId="17178B4F">
      <w:pPr>
        <w:pStyle w:val="6"/>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（报价部分）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36595692">
      <w:pPr>
        <w:pStyle w:val="6"/>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（填写正本或副本）</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00545451">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（项目名称：（由投标人填写）</w:t>
      </w:r>
    </w:p>
    <w:p w14:paraId="4326F518">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（备案编号：（由投标人填写）</w:t>
      </w:r>
    </w:p>
    <w:p w14:paraId="5BEDB005">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（项目编号：（由投标人填写）</w:t>
      </w:r>
    </w:p>
    <w:p w14:paraId="6B47456A">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（所投采购包：（由投标人填写）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3AE97C8E">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投标人：（填写“全称”）</w:t>
      </w:r>
    </w:p>
    <w:p w14:paraId="310EDC57">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（由投标人填写）年（由投标人填写）月</w:t>
      </w:r>
    </w:p>
    <w:p w14:paraId="11BC9AC8">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948E71A">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14:paraId="4563105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14:paraId="170D950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二、投标分项报价表</w:t>
      </w:r>
    </w:p>
    <w:p w14:paraId="0B09118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三、招标文件规定的价格扣除证明材料（若有）</w:t>
      </w:r>
    </w:p>
    <w:p w14:paraId="341A917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42FFC2A">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一、开标一览表</w:t>
      </w:r>
    </w:p>
    <w:p w14:paraId="462E6C3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14:paraId="6E51B5D9">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1E9A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09F68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2076" w:type="dxa"/>
          </w:tcPr>
          <w:p w14:paraId="1DCAAF0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2076" w:type="dxa"/>
          </w:tcPr>
          <w:p w14:paraId="065DE39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2076" w:type="dxa"/>
          </w:tcPr>
          <w:p w14:paraId="7EE6DBF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58CE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38FD4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76" w:type="dxa"/>
          </w:tcPr>
          <w:p w14:paraId="4B2EA97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p>
        </w:tc>
        <w:tc>
          <w:tcPr>
            <w:tcW w:w="2076" w:type="dxa"/>
          </w:tcPr>
          <w:p w14:paraId="754D9ED7">
            <w:pPr>
              <w:rPr>
                <w:rFonts w:hint="eastAsia" w:ascii="宋体" w:hAnsi="宋体" w:eastAsia="宋体" w:cs="宋体"/>
                <w:color w:val="auto"/>
                <w:sz w:val="24"/>
                <w:szCs w:val="24"/>
                <w:highlight w:val="none"/>
              </w:rPr>
            </w:pPr>
          </w:p>
        </w:tc>
        <w:tc>
          <w:tcPr>
            <w:tcW w:w="2076" w:type="dxa"/>
            <w:vMerge w:val="restart"/>
          </w:tcPr>
          <w:p w14:paraId="14D9718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a.&gt;投标报价的明细：详见《投标分项报价表》。</w:t>
            </w:r>
          </w:p>
          <w:p w14:paraId="426548A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b.&gt;招标文件规定的价格扣除证明材料（若有）：详见报价部分。</w:t>
            </w:r>
          </w:p>
        </w:tc>
      </w:tr>
      <w:tr w14:paraId="4F21A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EAECF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76" w:type="dxa"/>
          </w:tcPr>
          <w:p w14:paraId="352A172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p>
        </w:tc>
        <w:tc>
          <w:tcPr>
            <w:tcW w:w="2076" w:type="dxa"/>
          </w:tcPr>
          <w:p w14:paraId="4B98F83D">
            <w:pPr>
              <w:rPr>
                <w:rFonts w:hint="eastAsia" w:ascii="宋体" w:hAnsi="宋体" w:eastAsia="宋体" w:cs="宋体"/>
                <w:color w:val="auto"/>
                <w:sz w:val="24"/>
                <w:szCs w:val="24"/>
                <w:highlight w:val="none"/>
              </w:rPr>
            </w:pPr>
          </w:p>
        </w:tc>
        <w:tc>
          <w:tcPr>
            <w:tcW w:w="2076" w:type="dxa"/>
            <w:vMerge w:val="continue"/>
          </w:tcPr>
          <w:p w14:paraId="565F750B">
            <w:pPr>
              <w:rPr>
                <w:rFonts w:hint="eastAsia" w:ascii="宋体" w:hAnsi="宋体" w:eastAsia="宋体" w:cs="宋体"/>
                <w:color w:val="auto"/>
                <w:sz w:val="24"/>
                <w:szCs w:val="24"/>
                <w:highlight w:val="none"/>
              </w:rPr>
            </w:pPr>
          </w:p>
        </w:tc>
      </w:tr>
    </w:tbl>
    <w:p w14:paraId="391004A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964DAE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62ECB30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1.1投标人应按照本表格式填写所投的采购包的“投标报价”。</w:t>
      </w:r>
    </w:p>
    <w:p w14:paraId="4057F85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1.2本表中列示的“采购包”应与《投标分项报价表》中列示的“采购包”保持一致，即：若本表中列示的“采购包”为“1”时，《投标分项报价表》中列示的“采购包”亦应为“1”，以此类推。</w:t>
      </w:r>
    </w:p>
    <w:p w14:paraId="2086DD4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1.3“大写金额”指“投标报价”应用“壹、贰、叁、肆、伍、陆、柒、捌、玖、拾、佰、仟、万、亿、元、角、分、零”等进行填写。</w:t>
      </w:r>
    </w:p>
    <w:p w14:paraId="69C2A500">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1816702">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5EE7B99">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922787A">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二、投标分项报价表</w:t>
      </w:r>
    </w:p>
    <w:p w14:paraId="551B755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14:paraId="27E34890">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01A2B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E8976E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923" w:type="dxa"/>
          </w:tcPr>
          <w:p w14:paraId="2116438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923" w:type="dxa"/>
          </w:tcPr>
          <w:p w14:paraId="373DC37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923" w:type="dxa"/>
          </w:tcPr>
          <w:p w14:paraId="0A37D6A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923" w:type="dxa"/>
          </w:tcPr>
          <w:p w14:paraId="3895DF6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923" w:type="dxa"/>
          </w:tcPr>
          <w:p w14:paraId="52C686C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923" w:type="dxa"/>
          </w:tcPr>
          <w:p w14:paraId="32D4E49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23" w:type="dxa"/>
          </w:tcPr>
          <w:p w14:paraId="07F9945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923" w:type="dxa"/>
          </w:tcPr>
          <w:p w14:paraId="242B5D1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8073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14:paraId="7447076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23" w:type="dxa"/>
          </w:tcPr>
          <w:p w14:paraId="10A7453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3" w:type="dxa"/>
          </w:tcPr>
          <w:p w14:paraId="09656E50">
            <w:pPr>
              <w:rPr>
                <w:rFonts w:hint="eastAsia" w:ascii="宋体" w:hAnsi="宋体" w:eastAsia="宋体" w:cs="宋体"/>
                <w:color w:val="auto"/>
                <w:sz w:val="24"/>
                <w:szCs w:val="24"/>
                <w:highlight w:val="none"/>
              </w:rPr>
            </w:pPr>
          </w:p>
        </w:tc>
        <w:tc>
          <w:tcPr>
            <w:tcW w:w="923" w:type="dxa"/>
          </w:tcPr>
          <w:p w14:paraId="2EAE9128">
            <w:pPr>
              <w:rPr>
                <w:rFonts w:hint="eastAsia" w:ascii="宋体" w:hAnsi="宋体" w:eastAsia="宋体" w:cs="宋体"/>
                <w:color w:val="auto"/>
                <w:sz w:val="24"/>
                <w:szCs w:val="24"/>
                <w:highlight w:val="none"/>
              </w:rPr>
            </w:pPr>
          </w:p>
        </w:tc>
        <w:tc>
          <w:tcPr>
            <w:tcW w:w="923" w:type="dxa"/>
          </w:tcPr>
          <w:p w14:paraId="494D3E74">
            <w:pPr>
              <w:rPr>
                <w:rFonts w:hint="eastAsia" w:ascii="宋体" w:hAnsi="宋体" w:eastAsia="宋体" w:cs="宋体"/>
                <w:color w:val="auto"/>
                <w:sz w:val="24"/>
                <w:szCs w:val="24"/>
                <w:highlight w:val="none"/>
              </w:rPr>
            </w:pPr>
          </w:p>
        </w:tc>
        <w:tc>
          <w:tcPr>
            <w:tcW w:w="923" w:type="dxa"/>
          </w:tcPr>
          <w:p w14:paraId="5D4CEF50">
            <w:pPr>
              <w:rPr>
                <w:rFonts w:hint="eastAsia" w:ascii="宋体" w:hAnsi="宋体" w:eastAsia="宋体" w:cs="宋体"/>
                <w:color w:val="auto"/>
                <w:sz w:val="24"/>
                <w:szCs w:val="24"/>
                <w:highlight w:val="none"/>
              </w:rPr>
            </w:pPr>
          </w:p>
        </w:tc>
        <w:tc>
          <w:tcPr>
            <w:tcW w:w="923" w:type="dxa"/>
          </w:tcPr>
          <w:p w14:paraId="3E48E07F">
            <w:pPr>
              <w:rPr>
                <w:rFonts w:hint="eastAsia" w:ascii="宋体" w:hAnsi="宋体" w:eastAsia="宋体" w:cs="宋体"/>
                <w:color w:val="auto"/>
                <w:sz w:val="24"/>
                <w:szCs w:val="24"/>
                <w:highlight w:val="none"/>
              </w:rPr>
            </w:pPr>
          </w:p>
        </w:tc>
        <w:tc>
          <w:tcPr>
            <w:tcW w:w="923" w:type="dxa"/>
          </w:tcPr>
          <w:p w14:paraId="38264E04">
            <w:pPr>
              <w:rPr>
                <w:rFonts w:hint="eastAsia" w:ascii="宋体" w:hAnsi="宋体" w:eastAsia="宋体" w:cs="宋体"/>
                <w:color w:val="auto"/>
                <w:sz w:val="24"/>
                <w:szCs w:val="24"/>
                <w:highlight w:val="none"/>
              </w:rPr>
            </w:pPr>
          </w:p>
        </w:tc>
        <w:tc>
          <w:tcPr>
            <w:tcW w:w="923" w:type="dxa"/>
          </w:tcPr>
          <w:p w14:paraId="43953C2E">
            <w:pPr>
              <w:rPr>
                <w:rFonts w:hint="eastAsia" w:ascii="宋体" w:hAnsi="宋体" w:eastAsia="宋体" w:cs="宋体"/>
                <w:color w:val="auto"/>
                <w:sz w:val="24"/>
                <w:szCs w:val="24"/>
                <w:highlight w:val="none"/>
              </w:rPr>
            </w:pPr>
          </w:p>
        </w:tc>
      </w:tr>
      <w:tr w14:paraId="28A36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14:paraId="1E0183AF">
            <w:pPr>
              <w:rPr>
                <w:rFonts w:hint="eastAsia" w:ascii="宋体" w:hAnsi="宋体" w:eastAsia="宋体" w:cs="宋体"/>
                <w:color w:val="auto"/>
                <w:sz w:val="24"/>
                <w:szCs w:val="24"/>
                <w:highlight w:val="none"/>
              </w:rPr>
            </w:pPr>
          </w:p>
        </w:tc>
        <w:tc>
          <w:tcPr>
            <w:tcW w:w="923" w:type="dxa"/>
          </w:tcPr>
          <w:p w14:paraId="71B60ABB">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23" w:type="dxa"/>
          </w:tcPr>
          <w:p w14:paraId="55457290">
            <w:pPr>
              <w:rPr>
                <w:rFonts w:hint="eastAsia" w:ascii="宋体" w:hAnsi="宋体" w:eastAsia="宋体" w:cs="宋体"/>
                <w:color w:val="auto"/>
                <w:sz w:val="24"/>
                <w:szCs w:val="24"/>
                <w:highlight w:val="none"/>
              </w:rPr>
            </w:pPr>
          </w:p>
        </w:tc>
        <w:tc>
          <w:tcPr>
            <w:tcW w:w="923" w:type="dxa"/>
          </w:tcPr>
          <w:p w14:paraId="02CA25A9">
            <w:pPr>
              <w:rPr>
                <w:rFonts w:hint="eastAsia" w:ascii="宋体" w:hAnsi="宋体" w:eastAsia="宋体" w:cs="宋体"/>
                <w:color w:val="auto"/>
                <w:sz w:val="24"/>
                <w:szCs w:val="24"/>
                <w:highlight w:val="none"/>
              </w:rPr>
            </w:pPr>
          </w:p>
        </w:tc>
        <w:tc>
          <w:tcPr>
            <w:tcW w:w="923" w:type="dxa"/>
          </w:tcPr>
          <w:p w14:paraId="526E0681">
            <w:pPr>
              <w:rPr>
                <w:rFonts w:hint="eastAsia" w:ascii="宋体" w:hAnsi="宋体" w:eastAsia="宋体" w:cs="宋体"/>
                <w:color w:val="auto"/>
                <w:sz w:val="24"/>
                <w:szCs w:val="24"/>
                <w:highlight w:val="none"/>
              </w:rPr>
            </w:pPr>
          </w:p>
        </w:tc>
        <w:tc>
          <w:tcPr>
            <w:tcW w:w="923" w:type="dxa"/>
          </w:tcPr>
          <w:p w14:paraId="01F17416">
            <w:pPr>
              <w:rPr>
                <w:rFonts w:hint="eastAsia" w:ascii="宋体" w:hAnsi="宋体" w:eastAsia="宋体" w:cs="宋体"/>
                <w:color w:val="auto"/>
                <w:sz w:val="24"/>
                <w:szCs w:val="24"/>
                <w:highlight w:val="none"/>
              </w:rPr>
            </w:pPr>
          </w:p>
        </w:tc>
        <w:tc>
          <w:tcPr>
            <w:tcW w:w="923" w:type="dxa"/>
          </w:tcPr>
          <w:p w14:paraId="28531C05">
            <w:pPr>
              <w:rPr>
                <w:rFonts w:hint="eastAsia" w:ascii="宋体" w:hAnsi="宋体" w:eastAsia="宋体" w:cs="宋体"/>
                <w:color w:val="auto"/>
                <w:sz w:val="24"/>
                <w:szCs w:val="24"/>
                <w:highlight w:val="none"/>
              </w:rPr>
            </w:pPr>
          </w:p>
        </w:tc>
        <w:tc>
          <w:tcPr>
            <w:tcW w:w="923" w:type="dxa"/>
          </w:tcPr>
          <w:p w14:paraId="1BFD8FCD">
            <w:pPr>
              <w:rPr>
                <w:rFonts w:hint="eastAsia" w:ascii="宋体" w:hAnsi="宋体" w:eastAsia="宋体" w:cs="宋体"/>
                <w:color w:val="auto"/>
                <w:sz w:val="24"/>
                <w:szCs w:val="24"/>
                <w:highlight w:val="none"/>
              </w:rPr>
            </w:pPr>
          </w:p>
        </w:tc>
        <w:tc>
          <w:tcPr>
            <w:tcW w:w="923" w:type="dxa"/>
          </w:tcPr>
          <w:p w14:paraId="2281892D">
            <w:pPr>
              <w:rPr>
                <w:rFonts w:hint="eastAsia" w:ascii="宋体" w:hAnsi="宋体" w:eastAsia="宋体" w:cs="宋体"/>
                <w:color w:val="auto"/>
                <w:sz w:val="24"/>
                <w:szCs w:val="24"/>
                <w:highlight w:val="none"/>
              </w:rPr>
            </w:pPr>
          </w:p>
        </w:tc>
      </w:tr>
      <w:tr w14:paraId="46E46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CC9444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23" w:type="dxa"/>
          </w:tcPr>
          <w:p w14:paraId="7CE839F7">
            <w:pPr>
              <w:rPr>
                <w:rFonts w:hint="eastAsia" w:ascii="宋体" w:hAnsi="宋体" w:eastAsia="宋体" w:cs="宋体"/>
                <w:color w:val="auto"/>
                <w:sz w:val="24"/>
                <w:szCs w:val="24"/>
                <w:highlight w:val="none"/>
              </w:rPr>
            </w:pPr>
          </w:p>
        </w:tc>
        <w:tc>
          <w:tcPr>
            <w:tcW w:w="923" w:type="dxa"/>
          </w:tcPr>
          <w:p w14:paraId="2AE9A911">
            <w:pPr>
              <w:rPr>
                <w:rFonts w:hint="eastAsia" w:ascii="宋体" w:hAnsi="宋体" w:eastAsia="宋体" w:cs="宋体"/>
                <w:color w:val="auto"/>
                <w:sz w:val="24"/>
                <w:szCs w:val="24"/>
                <w:highlight w:val="none"/>
              </w:rPr>
            </w:pPr>
          </w:p>
        </w:tc>
        <w:tc>
          <w:tcPr>
            <w:tcW w:w="923" w:type="dxa"/>
          </w:tcPr>
          <w:p w14:paraId="6CDA79D6">
            <w:pPr>
              <w:rPr>
                <w:rFonts w:hint="eastAsia" w:ascii="宋体" w:hAnsi="宋体" w:eastAsia="宋体" w:cs="宋体"/>
                <w:color w:val="auto"/>
                <w:sz w:val="24"/>
                <w:szCs w:val="24"/>
                <w:highlight w:val="none"/>
              </w:rPr>
            </w:pPr>
          </w:p>
        </w:tc>
        <w:tc>
          <w:tcPr>
            <w:tcW w:w="923" w:type="dxa"/>
          </w:tcPr>
          <w:p w14:paraId="39206A4D">
            <w:pPr>
              <w:rPr>
                <w:rFonts w:hint="eastAsia" w:ascii="宋体" w:hAnsi="宋体" w:eastAsia="宋体" w:cs="宋体"/>
                <w:color w:val="auto"/>
                <w:sz w:val="24"/>
                <w:szCs w:val="24"/>
                <w:highlight w:val="none"/>
              </w:rPr>
            </w:pPr>
          </w:p>
        </w:tc>
        <w:tc>
          <w:tcPr>
            <w:tcW w:w="923" w:type="dxa"/>
          </w:tcPr>
          <w:p w14:paraId="4383CA6F">
            <w:pPr>
              <w:rPr>
                <w:rFonts w:hint="eastAsia" w:ascii="宋体" w:hAnsi="宋体" w:eastAsia="宋体" w:cs="宋体"/>
                <w:color w:val="auto"/>
                <w:sz w:val="24"/>
                <w:szCs w:val="24"/>
                <w:highlight w:val="none"/>
              </w:rPr>
            </w:pPr>
          </w:p>
        </w:tc>
        <w:tc>
          <w:tcPr>
            <w:tcW w:w="923" w:type="dxa"/>
          </w:tcPr>
          <w:p w14:paraId="2549FA02">
            <w:pPr>
              <w:rPr>
                <w:rFonts w:hint="eastAsia" w:ascii="宋体" w:hAnsi="宋体" w:eastAsia="宋体" w:cs="宋体"/>
                <w:color w:val="auto"/>
                <w:sz w:val="24"/>
                <w:szCs w:val="24"/>
                <w:highlight w:val="none"/>
              </w:rPr>
            </w:pPr>
          </w:p>
        </w:tc>
        <w:tc>
          <w:tcPr>
            <w:tcW w:w="923" w:type="dxa"/>
          </w:tcPr>
          <w:p w14:paraId="2715811C">
            <w:pPr>
              <w:rPr>
                <w:rFonts w:hint="eastAsia" w:ascii="宋体" w:hAnsi="宋体" w:eastAsia="宋体" w:cs="宋体"/>
                <w:color w:val="auto"/>
                <w:sz w:val="24"/>
                <w:szCs w:val="24"/>
                <w:highlight w:val="none"/>
              </w:rPr>
            </w:pPr>
          </w:p>
        </w:tc>
        <w:tc>
          <w:tcPr>
            <w:tcW w:w="923" w:type="dxa"/>
          </w:tcPr>
          <w:p w14:paraId="1F7C78B3">
            <w:pPr>
              <w:rPr>
                <w:rFonts w:hint="eastAsia" w:ascii="宋体" w:hAnsi="宋体" w:eastAsia="宋体" w:cs="宋体"/>
                <w:color w:val="auto"/>
                <w:sz w:val="24"/>
                <w:szCs w:val="24"/>
                <w:highlight w:val="none"/>
              </w:rPr>
            </w:pPr>
          </w:p>
        </w:tc>
      </w:tr>
    </w:tbl>
    <w:p w14:paraId="310DE71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AD38B6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5C8FCB6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6FE4AD1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w:t>
      </w:r>
    </w:p>
    <w:p w14:paraId="27DF04A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w:t>
      </w:r>
    </w:p>
    <w:p w14:paraId="268A214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1.4同一采购包中，“单价”×“数量”=“总价”，全部品目号“总价”的合计金额应与《开标一览表》中相应采购包列示的“投标总价”保持一致。</w:t>
      </w:r>
    </w:p>
    <w:p w14:paraId="2665EF2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1.5若招标文件要求投标人对“备品备件价格、专用工具价格、技术服务费、安装调试费、检验培训费、运输费、保险费、税收”等进行报价的，请在本表的“备注”项下填写。</w:t>
      </w:r>
    </w:p>
    <w:p w14:paraId="378B9648">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2A9A88C">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3FD80CC">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38D5C7C">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三、招标文件规定的价格扣除证明材料（若有）</w:t>
      </w:r>
    </w:p>
    <w:p w14:paraId="09269835">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三-1优先类节能产品、环境标志产品价格扣除证明材料（若有）</w:t>
      </w:r>
    </w:p>
    <w:p w14:paraId="49F50BF1">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三-1-①优先类节能产品、环境标志产品统计表（价格扣除适用，若有）</w:t>
      </w:r>
    </w:p>
    <w:p w14:paraId="346AF2D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14:paraId="72E0C0D8">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DC04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19390C7">
            <w:pPr>
              <w:rPr>
                <w:rFonts w:hint="eastAsia" w:ascii="宋体" w:hAnsi="宋体" w:eastAsia="宋体" w:cs="宋体"/>
                <w:color w:val="auto"/>
                <w:sz w:val="24"/>
                <w:szCs w:val="24"/>
                <w:highlight w:val="none"/>
              </w:rPr>
            </w:pPr>
          </w:p>
        </w:tc>
        <w:tc>
          <w:tcPr>
            <w:tcW w:w="7122" w:type="dxa"/>
            <w:gridSpan w:val="6"/>
          </w:tcPr>
          <w:p w14:paraId="6E247B01">
            <w:pPr>
              <w:pStyle w:val="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本采购包内属于节能、环境标志产品的报价情况</w:t>
            </w:r>
          </w:p>
        </w:tc>
      </w:tr>
      <w:tr w14:paraId="15D87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DCE75B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187" w:type="dxa"/>
          </w:tcPr>
          <w:p w14:paraId="7BD5F7A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187" w:type="dxa"/>
          </w:tcPr>
          <w:p w14:paraId="63DA177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187" w:type="dxa"/>
          </w:tcPr>
          <w:p w14:paraId="6126706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87" w:type="dxa"/>
          </w:tcPr>
          <w:p w14:paraId="7EF8D40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7" w:type="dxa"/>
          </w:tcPr>
          <w:p w14:paraId="7631A60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187" w:type="dxa"/>
          </w:tcPr>
          <w:p w14:paraId="3AF82F3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14:paraId="08901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0B13BBC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7" w:type="dxa"/>
          </w:tcPr>
          <w:p w14:paraId="0471E0E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7" w:type="dxa"/>
          </w:tcPr>
          <w:p w14:paraId="68F1F12D">
            <w:pPr>
              <w:rPr>
                <w:rFonts w:hint="eastAsia" w:ascii="宋体" w:hAnsi="宋体" w:eastAsia="宋体" w:cs="宋体"/>
                <w:color w:val="auto"/>
                <w:sz w:val="24"/>
                <w:szCs w:val="24"/>
                <w:highlight w:val="none"/>
              </w:rPr>
            </w:pPr>
          </w:p>
        </w:tc>
        <w:tc>
          <w:tcPr>
            <w:tcW w:w="1187" w:type="dxa"/>
          </w:tcPr>
          <w:p w14:paraId="4ADE7638">
            <w:pPr>
              <w:rPr>
                <w:rFonts w:hint="eastAsia" w:ascii="宋体" w:hAnsi="宋体" w:eastAsia="宋体" w:cs="宋体"/>
                <w:color w:val="auto"/>
                <w:sz w:val="24"/>
                <w:szCs w:val="24"/>
                <w:highlight w:val="none"/>
              </w:rPr>
            </w:pPr>
          </w:p>
        </w:tc>
        <w:tc>
          <w:tcPr>
            <w:tcW w:w="1187" w:type="dxa"/>
          </w:tcPr>
          <w:p w14:paraId="2CCCA14C">
            <w:pPr>
              <w:rPr>
                <w:rFonts w:hint="eastAsia" w:ascii="宋体" w:hAnsi="宋体" w:eastAsia="宋体" w:cs="宋体"/>
                <w:color w:val="auto"/>
                <w:sz w:val="24"/>
                <w:szCs w:val="24"/>
                <w:highlight w:val="none"/>
              </w:rPr>
            </w:pPr>
          </w:p>
        </w:tc>
        <w:tc>
          <w:tcPr>
            <w:tcW w:w="1187" w:type="dxa"/>
          </w:tcPr>
          <w:p w14:paraId="411AE953">
            <w:pPr>
              <w:rPr>
                <w:rFonts w:hint="eastAsia" w:ascii="宋体" w:hAnsi="宋体" w:eastAsia="宋体" w:cs="宋体"/>
                <w:color w:val="auto"/>
                <w:sz w:val="24"/>
                <w:szCs w:val="24"/>
                <w:highlight w:val="none"/>
              </w:rPr>
            </w:pPr>
          </w:p>
        </w:tc>
        <w:tc>
          <w:tcPr>
            <w:tcW w:w="1187" w:type="dxa"/>
          </w:tcPr>
          <w:p w14:paraId="473391F2">
            <w:pPr>
              <w:rPr>
                <w:rFonts w:hint="eastAsia" w:ascii="宋体" w:hAnsi="宋体" w:eastAsia="宋体" w:cs="宋体"/>
                <w:color w:val="auto"/>
                <w:sz w:val="24"/>
                <w:szCs w:val="24"/>
                <w:highlight w:val="none"/>
              </w:rPr>
            </w:pPr>
          </w:p>
        </w:tc>
      </w:tr>
      <w:tr w14:paraId="0BDFC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6B23D483">
            <w:pPr>
              <w:rPr>
                <w:rFonts w:hint="eastAsia" w:ascii="宋体" w:hAnsi="宋体" w:eastAsia="宋体" w:cs="宋体"/>
                <w:color w:val="auto"/>
                <w:sz w:val="24"/>
                <w:szCs w:val="24"/>
                <w:highlight w:val="none"/>
              </w:rPr>
            </w:pPr>
          </w:p>
        </w:tc>
        <w:tc>
          <w:tcPr>
            <w:tcW w:w="1187" w:type="dxa"/>
          </w:tcPr>
          <w:p w14:paraId="5158F69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459FE92">
            <w:pPr>
              <w:pStyle w:val="6"/>
              <w:jc w:val="left"/>
              <w:rPr>
                <w:rFonts w:hint="eastAsia" w:ascii="宋体" w:hAnsi="宋体" w:eastAsia="宋体" w:cs="宋体"/>
                <w:color w:val="auto"/>
                <w:sz w:val="24"/>
                <w:szCs w:val="24"/>
                <w:highlight w:val="none"/>
              </w:rPr>
            </w:pPr>
          </w:p>
        </w:tc>
        <w:tc>
          <w:tcPr>
            <w:tcW w:w="1187" w:type="dxa"/>
          </w:tcPr>
          <w:p w14:paraId="4A555F53">
            <w:pPr>
              <w:rPr>
                <w:rFonts w:hint="eastAsia" w:ascii="宋体" w:hAnsi="宋体" w:eastAsia="宋体" w:cs="宋体"/>
                <w:color w:val="auto"/>
                <w:sz w:val="24"/>
                <w:szCs w:val="24"/>
                <w:highlight w:val="none"/>
              </w:rPr>
            </w:pPr>
          </w:p>
        </w:tc>
        <w:tc>
          <w:tcPr>
            <w:tcW w:w="1187" w:type="dxa"/>
          </w:tcPr>
          <w:p w14:paraId="4084682B">
            <w:pPr>
              <w:rPr>
                <w:rFonts w:hint="eastAsia" w:ascii="宋体" w:hAnsi="宋体" w:eastAsia="宋体" w:cs="宋体"/>
                <w:color w:val="auto"/>
                <w:sz w:val="24"/>
                <w:szCs w:val="24"/>
                <w:highlight w:val="none"/>
              </w:rPr>
            </w:pPr>
          </w:p>
        </w:tc>
        <w:tc>
          <w:tcPr>
            <w:tcW w:w="1187" w:type="dxa"/>
          </w:tcPr>
          <w:p w14:paraId="40266351">
            <w:pPr>
              <w:rPr>
                <w:rFonts w:hint="eastAsia" w:ascii="宋体" w:hAnsi="宋体" w:eastAsia="宋体" w:cs="宋体"/>
                <w:color w:val="auto"/>
                <w:sz w:val="24"/>
                <w:szCs w:val="24"/>
                <w:highlight w:val="none"/>
              </w:rPr>
            </w:pPr>
          </w:p>
        </w:tc>
        <w:tc>
          <w:tcPr>
            <w:tcW w:w="1187" w:type="dxa"/>
          </w:tcPr>
          <w:p w14:paraId="47815125">
            <w:pPr>
              <w:rPr>
                <w:rFonts w:hint="eastAsia" w:ascii="宋体" w:hAnsi="宋体" w:eastAsia="宋体" w:cs="宋体"/>
                <w:color w:val="auto"/>
                <w:sz w:val="24"/>
                <w:szCs w:val="24"/>
                <w:highlight w:val="none"/>
              </w:rPr>
            </w:pPr>
          </w:p>
        </w:tc>
        <w:tc>
          <w:tcPr>
            <w:tcW w:w="1187" w:type="dxa"/>
          </w:tcPr>
          <w:p w14:paraId="67A442EE">
            <w:pPr>
              <w:rPr>
                <w:rFonts w:hint="eastAsia" w:ascii="宋体" w:hAnsi="宋体" w:eastAsia="宋体" w:cs="宋体"/>
                <w:color w:val="auto"/>
                <w:sz w:val="24"/>
                <w:szCs w:val="24"/>
                <w:highlight w:val="none"/>
              </w:rPr>
            </w:pPr>
          </w:p>
        </w:tc>
      </w:tr>
      <w:tr w14:paraId="398A2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333C95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7122" w:type="dxa"/>
            <w:gridSpan w:val="6"/>
          </w:tcPr>
          <w:p w14:paraId="547FC9C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采购包内属于节能、环境标志产品的报价总金额：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r>
    </w:tbl>
    <w:p w14:paraId="457FB6F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25F25E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1、对节能、环境标志产品计算价格扣除时，只依据电子投标文件“三-1-②优先类节能产品、环境标志产品证明材料（价格扣除适用，若有）”。</w:t>
      </w:r>
    </w:p>
    <w:p w14:paraId="1C244D5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14:paraId="78DBC38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14:paraId="0005FAA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3.1同一品目中各认证证书不重复计算价格扣除。强制类节能产品不享受价格扣除。</w:t>
      </w:r>
    </w:p>
    <w:p w14:paraId="059C7AA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14:paraId="64D96B6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3.3投标人应按照招标文件要求认真统计、计算。</w:t>
      </w:r>
    </w:p>
    <w:p w14:paraId="1A1DE9A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w:t>
      </w:r>
    </w:p>
    <w:p w14:paraId="0A1473AF">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9E43837">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7F7E6F7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F208C46">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三-1-②优先类节能产品、环境标志产品证明材料（价格扣除适用，若有）</w:t>
      </w:r>
    </w:p>
    <w:p w14:paraId="16D65B89">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三-2小型、微型企业产品等价格扣除证明材料（若有）</w:t>
      </w:r>
    </w:p>
    <w:p w14:paraId="7212EC7B">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三-2-①中小企业声明函（价格扣除适用，若有）</w:t>
      </w:r>
    </w:p>
    <w:p w14:paraId="29347F69">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14:paraId="0EF21F7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4F23572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19B373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BBB88F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CB70ED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6735B1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FB44C60">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5B2E29A">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BA5A3B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678ACF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2906B82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0500C3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51EA98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65CB3CC">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14:paraId="16C9934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A9B3B85">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2CB75B8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E09AC6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A98A53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E71D42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FA85377">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CD7095F">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79E60D5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A05C70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3E0FC7B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9F8C52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7DFB70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CB22DF8">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三-2-②小型、微型企业等证明材料（价格扣除适用，若有）</w:t>
      </w:r>
    </w:p>
    <w:p w14:paraId="7AA0FE1B">
      <w:pPr>
        <w:pStyle w:val="6"/>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7F22E24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1、投标人应按照招标文件要求提供相应证明材料，证明材料应与《中小企业声明函》的内容相一致，否则视为《中小企业声明函》内容不真实。</w:t>
      </w:r>
    </w:p>
    <w:p w14:paraId="02C5C88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2、投标人为监狱企业的，根据其提供的由省级以上监狱管理局、戒毒管理局（含新疆生产建设兵团）出具的属于监狱企业的证明文件进行认定，监狱企业视同小型、微型企业。</w:t>
      </w:r>
    </w:p>
    <w:p w14:paraId="4CF4839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14:paraId="4720D42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22B8FE74">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残疾人福利性单位声明函（价格扣除适用，若有）</w:t>
      </w:r>
    </w:p>
    <w:p w14:paraId="579AA37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7E6025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8D483D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14:paraId="73A0F7B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14:paraId="4677B13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14:paraId="50FDA0E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6ED8EF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14:paraId="5E25603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14:paraId="5DBC891B">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14C6CBBB">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58362D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8924B52">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52849C2E">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14:paraId="4DDD85EF">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650BA59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697492F">
      <w:pPr>
        <w:pStyle w:val="6"/>
        <w:jc w:val="center"/>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三-3招标文件规定的其他价格扣除证明材料（若有）</w:t>
      </w:r>
    </w:p>
    <w:p w14:paraId="405A824D">
      <w:pPr>
        <w:pStyle w:val="6"/>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11A7DE5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760CD444">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0DB2410">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封面格式(技术商务部分)</w:t>
      </w:r>
    </w:p>
    <w:p w14:paraId="5CD83A88">
      <w:pPr>
        <w:pStyle w:val="6"/>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福建省政府采购投标文件</w:t>
      </w:r>
    </w:p>
    <w:p w14:paraId="0312E9A9">
      <w:pPr>
        <w:pStyle w:val="6"/>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（技术商务部分）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5501EE10">
      <w:pPr>
        <w:pStyle w:val="6"/>
        <w:jc w:val="center"/>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（填写正本或副本）</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F554949">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（项目名称：（由投标人填写）</w:t>
      </w:r>
    </w:p>
    <w:p w14:paraId="4E970D6D">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（备案编号：（由投标人填写）</w:t>
      </w:r>
    </w:p>
    <w:p w14:paraId="00D59923">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（项目编号：（由投标人填写）</w:t>
      </w:r>
    </w:p>
    <w:p w14:paraId="72B3DBF9">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（所投采购包：（由投标人填写）</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3D753116">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投标人：（填写“全称”）</w:t>
      </w:r>
    </w:p>
    <w:p w14:paraId="5D85C564">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（由投标人填写）年（由投标人填写）月</w:t>
      </w:r>
    </w:p>
    <w:p w14:paraId="4C989DDF">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262F73C">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索引</w:t>
      </w:r>
    </w:p>
    <w:p w14:paraId="638BC37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一、标的说明一览表</w:t>
      </w:r>
    </w:p>
    <w:p w14:paraId="3732472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二、技术和服务要求响应表</w:t>
      </w:r>
    </w:p>
    <w:p w14:paraId="0DF9FCF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三、商务条件响应表</w:t>
      </w:r>
    </w:p>
    <w:p w14:paraId="6C1F6FE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四、投标人提交的其他资料（若有）</w:t>
      </w:r>
    </w:p>
    <w:p w14:paraId="0E80C7E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528AAF1">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技术商务部分中不得出现报价部分的全部或部分的投标报价信息（或组成资料），否则符合性审查不合格。</w:t>
      </w:r>
    </w:p>
    <w:p w14:paraId="6F6EBAF2">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9315B21">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一、标的说明一览表</w:t>
      </w:r>
    </w:p>
    <w:p w14:paraId="55FF085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5472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42890A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187" w:type="dxa"/>
          </w:tcPr>
          <w:p w14:paraId="0CA0443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187" w:type="dxa"/>
          </w:tcPr>
          <w:p w14:paraId="62FCEB43">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1187" w:type="dxa"/>
          </w:tcPr>
          <w:p w14:paraId="7DE94FB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87" w:type="dxa"/>
          </w:tcPr>
          <w:p w14:paraId="64E5167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87" w:type="dxa"/>
          </w:tcPr>
          <w:p w14:paraId="24A931E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1187" w:type="dxa"/>
          </w:tcPr>
          <w:p w14:paraId="678B2850">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EB30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D71147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7" w:type="dxa"/>
          </w:tcPr>
          <w:p w14:paraId="5B92DD76">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7" w:type="dxa"/>
          </w:tcPr>
          <w:p w14:paraId="7EE38D43">
            <w:pPr>
              <w:rPr>
                <w:rFonts w:hint="eastAsia" w:ascii="宋体" w:hAnsi="宋体" w:eastAsia="宋体" w:cs="宋体"/>
                <w:color w:val="auto"/>
                <w:sz w:val="24"/>
                <w:szCs w:val="24"/>
                <w:highlight w:val="none"/>
              </w:rPr>
            </w:pPr>
          </w:p>
        </w:tc>
        <w:tc>
          <w:tcPr>
            <w:tcW w:w="1187" w:type="dxa"/>
          </w:tcPr>
          <w:p w14:paraId="3B588727">
            <w:pPr>
              <w:rPr>
                <w:rFonts w:hint="eastAsia" w:ascii="宋体" w:hAnsi="宋体" w:eastAsia="宋体" w:cs="宋体"/>
                <w:color w:val="auto"/>
                <w:sz w:val="24"/>
                <w:szCs w:val="24"/>
                <w:highlight w:val="none"/>
              </w:rPr>
            </w:pPr>
          </w:p>
        </w:tc>
        <w:tc>
          <w:tcPr>
            <w:tcW w:w="1187" w:type="dxa"/>
          </w:tcPr>
          <w:p w14:paraId="47279784">
            <w:pPr>
              <w:rPr>
                <w:rFonts w:hint="eastAsia" w:ascii="宋体" w:hAnsi="宋体" w:eastAsia="宋体" w:cs="宋体"/>
                <w:color w:val="auto"/>
                <w:sz w:val="24"/>
                <w:szCs w:val="24"/>
                <w:highlight w:val="none"/>
              </w:rPr>
            </w:pPr>
          </w:p>
        </w:tc>
        <w:tc>
          <w:tcPr>
            <w:tcW w:w="1187" w:type="dxa"/>
          </w:tcPr>
          <w:p w14:paraId="7A9BAA37">
            <w:pPr>
              <w:rPr>
                <w:rFonts w:hint="eastAsia" w:ascii="宋体" w:hAnsi="宋体" w:eastAsia="宋体" w:cs="宋体"/>
                <w:color w:val="auto"/>
                <w:sz w:val="24"/>
                <w:szCs w:val="24"/>
                <w:highlight w:val="none"/>
              </w:rPr>
            </w:pPr>
          </w:p>
        </w:tc>
      </w:tr>
      <w:tr w14:paraId="7AC95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619E0ED6">
            <w:pPr>
              <w:rPr>
                <w:rFonts w:hint="eastAsia" w:ascii="宋体" w:hAnsi="宋体" w:eastAsia="宋体" w:cs="宋体"/>
                <w:color w:val="auto"/>
                <w:sz w:val="24"/>
                <w:szCs w:val="24"/>
                <w:highlight w:val="none"/>
              </w:rPr>
            </w:pPr>
          </w:p>
        </w:tc>
        <w:tc>
          <w:tcPr>
            <w:tcW w:w="1187" w:type="dxa"/>
          </w:tcPr>
          <w:p w14:paraId="6ECB5CCF">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7" w:type="dxa"/>
          </w:tcPr>
          <w:p w14:paraId="34316FF8">
            <w:pPr>
              <w:rPr>
                <w:rFonts w:hint="eastAsia" w:ascii="宋体" w:hAnsi="宋体" w:eastAsia="宋体" w:cs="宋体"/>
                <w:color w:val="auto"/>
                <w:sz w:val="24"/>
                <w:szCs w:val="24"/>
                <w:highlight w:val="none"/>
              </w:rPr>
            </w:pPr>
          </w:p>
        </w:tc>
        <w:tc>
          <w:tcPr>
            <w:tcW w:w="1187" w:type="dxa"/>
          </w:tcPr>
          <w:p w14:paraId="58A4B45D">
            <w:pPr>
              <w:rPr>
                <w:rFonts w:hint="eastAsia" w:ascii="宋体" w:hAnsi="宋体" w:eastAsia="宋体" w:cs="宋体"/>
                <w:color w:val="auto"/>
                <w:sz w:val="24"/>
                <w:szCs w:val="24"/>
                <w:highlight w:val="none"/>
              </w:rPr>
            </w:pPr>
          </w:p>
        </w:tc>
        <w:tc>
          <w:tcPr>
            <w:tcW w:w="1187" w:type="dxa"/>
          </w:tcPr>
          <w:p w14:paraId="34AEB6F1">
            <w:pPr>
              <w:rPr>
                <w:rFonts w:hint="eastAsia" w:ascii="宋体" w:hAnsi="宋体" w:eastAsia="宋体" w:cs="宋体"/>
                <w:color w:val="auto"/>
                <w:sz w:val="24"/>
                <w:szCs w:val="24"/>
                <w:highlight w:val="none"/>
              </w:rPr>
            </w:pPr>
          </w:p>
        </w:tc>
        <w:tc>
          <w:tcPr>
            <w:tcW w:w="1187" w:type="dxa"/>
          </w:tcPr>
          <w:p w14:paraId="5458965D">
            <w:pPr>
              <w:rPr>
                <w:rFonts w:hint="eastAsia" w:ascii="宋体" w:hAnsi="宋体" w:eastAsia="宋体" w:cs="宋体"/>
                <w:color w:val="auto"/>
                <w:sz w:val="24"/>
                <w:szCs w:val="24"/>
                <w:highlight w:val="none"/>
              </w:rPr>
            </w:pPr>
          </w:p>
        </w:tc>
      </w:tr>
      <w:tr w14:paraId="3EF92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C36A45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87" w:type="dxa"/>
          </w:tcPr>
          <w:p w14:paraId="2A63EBE2">
            <w:pPr>
              <w:rPr>
                <w:rFonts w:hint="eastAsia" w:ascii="宋体" w:hAnsi="宋体" w:eastAsia="宋体" w:cs="宋体"/>
                <w:color w:val="auto"/>
                <w:sz w:val="24"/>
                <w:szCs w:val="24"/>
                <w:highlight w:val="none"/>
              </w:rPr>
            </w:pPr>
          </w:p>
        </w:tc>
        <w:tc>
          <w:tcPr>
            <w:tcW w:w="1187" w:type="dxa"/>
          </w:tcPr>
          <w:p w14:paraId="6E820971">
            <w:pPr>
              <w:rPr>
                <w:rFonts w:hint="eastAsia" w:ascii="宋体" w:hAnsi="宋体" w:eastAsia="宋体" w:cs="宋体"/>
                <w:color w:val="auto"/>
                <w:sz w:val="24"/>
                <w:szCs w:val="24"/>
                <w:highlight w:val="none"/>
              </w:rPr>
            </w:pPr>
          </w:p>
        </w:tc>
        <w:tc>
          <w:tcPr>
            <w:tcW w:w="1187" w:type="dxa"/>
          </w:tcPr>
          <w:p w14:paraId="640EEF87">
            <w:pPr>
              <w:rPr>
                <w:rFonts w:hint="eastAsia" w:ascii="宋体" w:hAnsi="宋体" w:eastAsia="宋体" w:cs="宋体"/>
                <w:color w:val="auto"/>
                <w:sz w:val="24"/>
                <w:szCs w:val="24"/>
                <w:highlight w:val="none"/>
              </w:rPr>
            </w:pPr>
          </w:p>
        </w:tc>
        <w:tc>
          <w:tcPr>
            <w:tcW w:w="1187" w:type="dxa"/>
          </w:tcPr>
          <w:p w14:paraId="11FAC272">
            <w:pPr>
              <w:rPr>
                <w:rFonts w:hint="eastAsia" w:ascii="宋体" w:hAnsi="宋体" w:eastAsia="宋体" w:cs="宋体"/>
                <w:color w:val="auto"/>
                <w:sz w:val="24"/>
                <w:szCs w:val="24"/>
                <w:highlight w:val="none"/>
              </w:rPr>
            </w:pPr>
          </w:p>
        </w:tc>
        <w:tc>
          <w:tcPr>
            <w:tcW w:w="1187" w:type="dxa"/>
          </w:tcPr>
          <w:p w14:paraId="22E7A045">
            <w:pPr>
              <w:rPr>
                <w:rFonts w:hint="eastAsia" w:ascii="宋体" w:hAnsi="宋体" w:eastAsia="宋体" w:cs="宋体"/>
                <w:color w:val="auto"/>
                <w:sz w:val="24"/>
                <w:szCs w:val="24"/>
                <w:highlight w:val="none"/>
              </w:rPr>
            </w:pPr>
          </w:p>
        </w:tc>
      </w:tr>
    </w:tbl>
    <w:p w14:paraId="698018C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FE3D02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09E35F94">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1.1“采购包”、“品目号”、“投标标的”及“数量”应与招标文件《采购标的一览表》中的有关内容（“采购包”、“品目号”、“采购标的”及“数量”）保持一致。</w:t>
      </w:r>
    </w:p>
    <w:p w14:paraId="68947F87">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E95CDF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270D1B8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941334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3、电子投标文件中涉及“投标标的”、“数量”、“规格”、“来源地”的内容若不一致，应以本表为准。</w:t>
      </w:r>
    </w:p>
    <w:p w14:paraId="509D6862">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178BFB5A">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84DFF3A">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2B89302">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二、技术和服务要求响应表</w:t>
      </w:r>
    </w:p>
    <w:p w14:paraId="5302496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6D88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CCACAA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661" w:type="dxa"/>
          </w:tcPr>
          <w:p w14:paraId="574FCA55">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661" w:type="dxa"/>
          </w:tcPr>
          <w:p w14:paraId="69B96089">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1661" w:type="dxa"/>
          </w:tcPr>
          <w:p w14:paraId="1C08A19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661" w:type="dxa"/>
          </w:tcPr>
          <w:p w14:paraId="7D362A6D">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215C9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B1C9F1E">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4C4CF79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1" w:type="dxa"/>
          </w:tcPr>
          <w:p w14:paraId="59D4CBEE">
            <w:pPr>
              <w:rPr>
                <w:rFonts w:hint="eastAsia" w:ascii="宋体" w:hAnsi="宋体" w:eastAsia="宋体" w:cs="宋体"/>
                <w:color w:val="auto"/>
                <w:sz w:val="24"/>
                <w:szCs w:val="24"/>
                <w:highlight w:val="none"/>
              </w:rPr>
            </w:pPr>
          </w:p>
        </w:tc>
        <w:tc>
          <w:tcPr>
            <w:tcW w:w="1661" w:type="dxa"/>
          </w:tcPr>
          <w:p w14:paraId="13306968">
            <w:pPr>
              <w:rPr>
                <w:rFonts w:hint="eastAsia" w:ascii="宋体" w:hAnsi="宋体" w:eastAsia="宋体" w:cs="宋体"/>
                <w:color w:val="auto"/>
                <w:sz w:val="24"/>
                <w:szCs w:val="24"/>
                <w:highlight w:val="none"/>
              </w:rPr>
            </w:pPr>
          </w:p>
        </w:tc>
        <w:tc>
          <w:tcPr>
            <w:tcW w:w="1661" w:type="dxa"/>
          </w:tcPr>
          <w:p w14:paraId="73844955">
            <w:pPr>
              <w:rPr>
                <w:rFonts w:hint="eastAsia" w:ascii="宋体" w:hAnsi="宋体" w:eastAsia="宋体" w:cs="宋体"/>
                <w:color w:val="auto"/>
                <w:sz w:val="24"/>
                <w:szCs w:val="24"/>
                <w:highlight w:val="none"/>
              </w:rPr>
            </w:pPr>
          </w:p>
        </w:tc>
      </w:tr>
      <w:tr w14:paraId="0F445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BBD8F94">
            <w:pPr>
              <w:rPr>
                <w:rFonts w:hint="eastAsia" w:ascii="宋体" w:hAnsi="宋体" w:eastAsia="宋体" w:cs="宋体"/>
                <w:color w:val="auto"/>
                <w:sz w:val="24"/>
                <w:szCs w:val="24"/>
                <w:highlight w:val="none"/>
              </w:rPr>
            </w:pPr>
          </w:p>
        </w:tc>
        <w:tc>
          <w:tcPr>
            <w:tcW w:w="1661" w:type="dxa"/>
          </w:tcPr>
          <w:p w14:paraId="0646488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170FDD42">
            <w:pPr>
              <w:rPr>
                <w:rFonts w:hint="eastAsia" w:ascii="宋体" w:hAnsi="宋体" w:eastAsia="宋体" w:cs="宋体"/>
                <w:color w:val="auto"/>
                <w:sz w:val="24"/>
                <w:szCs w:val="24"/>
                <w:highlight w:val="none"/>
              </w:rPr>
            </w:pPr>
          </w:p>
        </w:tc>
        <w:tc>
          <w:tcPr>
            <w:tcW w:w="1661" w:type="dxa"/>
          </w:tcPr>
          <w:p w14:paraId="5D10947F">
            <w:pPr>
              <w:rPr>
                <w:rFonts w:hint="eastAsia" w:ascii="宋体" w:hAnsi="宋体" w:eastAsia="宋体" w:cs="宋体"/>
                <w:color w:val="auto"/>
                <w:sz w:val="24"/>
                <w:szCs w:val="24"/>
                <w:highlight w:val="none"/>
              </w:rPr>
            </w:pPr>
          </w:p>
        </w:tc>
        <w:tc>
          <w:tcPr>
            <w:tcW w:w="1661" w:type="dxa"/>
          </w:tcPr>
          <w:p w14:paraId="798B789D">
            <w:pPr>
              <w:rPr>
                <w:rFonts w:hint="eastAsia" w:ascii="宋体" w:hAnsi="宋体" w:eastAsia="宋体" w:cs="宋体"/>
                <w:color w:val="auto"/>
                <w:sz w:val="24"/>
                <w:szCs w:val="24"/>
                <w:highlight w:val="none"/>
              </w:rPr>
            </w:pPr>
          </w:p>
        </w:tc>
      </w:tr>
      <w:tr w14:paraId="7D175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70E5FD2">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17F2FD1F">
            <w:pPr>
              <w:rPr>
                <w:rFonts w:hint="eastAsia" w:ascii="宋体" w:hAnsi="宋体" w:eastAsia="宋体" w:cs="宋体"/>
                <w:color w:val="auto"/>
                <w:sz w:val="24"/>
                <w:szCs w:val="24"/>
                <w:highlight w:val="none"/>
              </w:rPr>
            </w:pPr>
          </w:p>
        </w:tc>
        <w:tc>
          <w:tcPr>
            <w:tcW w:w="1661" w:type="dxa"/>
          </w:tcPr>
          <w:p w14:paraId="5AE0C68D">
            <w:pPr>
              <w:rPr>
                <w:rFonts w:hint="eastAsia" w:ascii="宋体" w:hAnsi="宋体" w:eastAsia="宋体" w:cs="宋体"/>
                <w:color w:val="auto"/>
                <w:sz w:val="24"/>
                <w:szCs w:val="24"/>
                <w:highlight w:val="none"/>
              </w:rPr>
            </w:pPr>
          </w:p>
        </w:tc>
        <w:tc>
          <w:tcPr>
            <w:tcW w:w="1661" w:type="dxa"/>
          </w:tcPr>
          <w:p w14:paraId="5617C58B">
            <w:pPr>
              <w:rPr>
                <w:rFonts w:hint="eastAsia" w:ascii="宋体" w:hAnsi="宋体" w:eastAsia="宋体" w:cs="宋体"/>
                <w:color w:val="auto"/>
                <w:sz w:val="24"/>
                <w:szCs w:val="24"/>
                <w:highlight w:val="none"/>
              </w:rPr>
            </w:pPr>
          </w:p>
        </w:tc>
        <w:tc>
          <w:tcPr>
            <w:tcW w:w="1661" w:type="dxa"/>
          </w:tcPr>
          <w:p w14:paraId="2940FA12">
            <w:pPr>
              <w:rPr>
                <w:rFonts w:hint="eastAsia" w:ascii="宋体" w:hAnsi="宋体" w:eastAsia="宋体" w:cs="宋体"/>
                <w:color w:val="auto"/>
                <w:sz w:val="24"/>
                <w:szCs w:val="24"/>
                <w:highlight w:val="none"/>
              </w:rPr>
            </w:pPr>
          </w:p>
        </w:tc>
      </w:tr>
    </w:tbl>
    <w:p w14:paraId="4E242F7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6F9FCE4B">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3B840BE6">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1.1“技术和服务要求”项下填写的内容应与招标文件第五章“技术和服务要求”的内容保持一致。</w:t>
      </w:r>
    </w:p>
    <w:p w14:paraId="7283DBE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616199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6FB52B1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3FAEF1B4">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F458C9C">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331EA55">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33B2EF1C">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三、商务条件响应表</w:t>
      </w:r>
    </w:p>
    <w:p w14:paraId="7FBD0E0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6D48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6AAB949A">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661" w:type="dxa"/>
          </w:tcPr>
          <w:p w14:paraId="5ECAB8F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661" w:type="dxa"/>
          </w:tcPr>
          <w:p w14:paraId="4581C65C">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661" w:type="dxa"/>
          </w:tcPr>
          <w:p w14:paraId="3BD8E611">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661" w:type="dxa"/>
          </w:tcPr>
          <w:p w14:paraId="403A4F87">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51451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034AC7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2479BA5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1" w:type="dxa"/>
          </w:tcPr>
          <w:p w14:paraId="3B209A1A">
            <w:pPr>
              <w:rPr>
                <w:rFonts w:hint="eastAsia" w:ascii="宋体" w:hAnsi="宋体" w:eastAsia="宋体" w:cs="宋体"/>
                <w:color w:val="auto"/>
                <w:sz w:val="24"/>
                <w:szCs w:val="24"/>
                <w:highlight w:val="none"/>
              </w:rPr>
            </w:pPr>
          </w:p>
        </w:tc>
        <w:tc>
          <w:tcPr>
            <w:tcW w:w="1661" w:type="dxa"/>
          </w:tcPr>
          <w:p w14:paraId="2A240CEC">
            <w:pPr>
              <w:rPr>
                <w:rFonts w:hint="eastAsia" w:ascii="宋体" w:hAnsi="宋体" w:eastAsia="宋体" w:cs="宋体"/>
                <w:color w:val="auto"/>
                <w:sz w:val="24"/>
                <w:szCs w:val="24"/>
                <w:highlight w:val="none"/>
              </w:rPr>
            </w:pPr>
          </w:p>
        </w:tc>
        <w:tc>
          <w:tcPr>
            <w:tcW w:w="1661" w:type="dxa"/>
          </w:tcPr>
          <w:p w14:paraId="15D65122">
            <w:pPr>
              <w:rPr>
                <w:rFonts w:hint="eastAsia" w:ascii="宋体" w:hAnsi="宋体" w:eastAsia="宋体" w:cs="宋体"/>
                <w:color w:val="auto"/>
                <w:sz w:val="24"/>
                <w:szCs w:val="24"/>
                <w:highlight w:val="none"/>
              </w:rPr>
            </w:pPr>
          </w:p>
        </w:tc>
      </w:tr>
      <w:tr w14:paraId="3A940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D6C4BB1">
            <w:pPr>
              <w:rPr>
                <w:rFonts w:hint="eastAsia" w:ascii="宋体" w:hAnsi="宋体" w:eastAsia="宋体" w:cs="宋体"/>
                <w:color w:val="auto"/>
                <w:sz w:val="24"/>
                <w:szCs w:val="24"/>
                <w:highlight w:val="none"/>
              </w:rPr>
            </w:pPr>
          </w:p>
        </w:tc>
        <w:tc>
          <w:tcPr>
            <w:tcW w:w="1661" w:type="dxa"/>
          </w:tcPr>
          <w:p w14:paraId="44861D38">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3FC392C6">
            <w:pPr>
              <w:rPr>
                <w:rFonts w:hint="eastAsia" w:ascii="宋体" w:hAnsi="宋体" w:eastAsia="宋体" w:cs="宋体"/>
                <w:color w:val="auto"/>
                <w:sz w:val="24"/>
                <w:szCs w:val="24"/>
                <w:highlight w:val="none"/>
              </w:rPr>
            </w:pPr>
          </w:p>
        </w:tc>
        <w:tc>
          <w:tcPr>
            <w:tcW w:w="1661" w:type="dxa"/>
          </w:tcPr>
          <w:p w14:paraId="5223CE40">
            <w:pPr>
              <w:rPr>
                <w:rFonts w:hint="eastAsia" w:ascii="宋体" w:hAnsi="宋体" w:eastAsia="宋体" w:cs="宋体"/>
                <w:color w:val="auto"/>
                <w:sz w:val="24"/>
                <w:szCs w:val="24"/>
                <w:highlight w:val="none"/>
              </w:rPr>
            </w:pPr>
          </w:p>
        </w:tc>
        <w:tc>
          <w:tcPr>
            <w:tcW w:w="1661" w:type="dxa"/>
          </w:tcPr>
          <w:p w14:paraId="186C30D7">
            <w:pPr>
              <w:rPr>
                <w:rFonts w:hint="eastAsia" w:ascii="宋体" w:hAnsi="宋体" w:eastAsia="宋体" w:cs="宋体"/>
                <w:color w:val="auto"/>
                <w:sz w:val="24"/>
                <w:szCs w:val="24"/>
                <w:highlight w:val="none"/>
              </w:rPr>
            </w:pPr>
          </w:p>
        </w:tc>
      </w:tr>
      <w:tr w14:paraId="41C33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CD86D94">
            <w:pPr>
              <w:pStyle w:val="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0F3654EE">
            <w:pPr>
              <w:rPr>
                <w:rFonts w:hint="eastAsia" w:ascii="宋体" w:hAnsi="宋体" w:eastAsia="宋体" w:cs="宋体"/>
                <w:color w:val="auto"/>
                <w:sz w:val="24"/>
                <w:szCs w:val="24"/>
                <w:highlight w:val="none"/>
              </w:rPr>
            </w:pPr>
          </w:p>
        </w:tc>
        <w:tc>
          <w:tcPr>
            <w:tcW w:w="1661" w:type="dxa"/>
          </w:tcPr>
          <w:p w14:paraId="17AE3950">
            <w:pPr>
              <w:rPr>
                <w:rFonts w:hint="eastAsia" w:ascii="宋体" w:hAnsi="宋体" w:eastAsia="宋体" w:cs="宋体"/>
                <w:color w:val="auto"/>
                <w:sz w:val="24"/>
                <w:szCs w:val="24"/>
                <w:highlight w:val="none"/>
              </w:rPr>
            </w:pPr>
          </w:p>
        </w:tc>
        <w:tc>
          <w:tcPr>
            <w:tcW w:w="1661" w:type="dxa"/>
          </w:tcPr>
          <w:p w14:paraId="740271FA">
            <w:pPr>
              <w:rPr>
                <w:rFonts w:hint="eastAsia" w:ascii="宋体" w:hAnsi="宋体" w:eastAsia="宋体" w:cs="宋体"/>
                <w:color w:val="auto"/>
                <w:sz w:val="24"/>
                <w:szCs w:val="24"/>
                <w:highlight w:val="none"/>
              </w:rPr>
            </w:pPr>
          </w:p>
        </w:tc>
        <w:tc>
          <w:tcPr>
            <w:tcW w:w="1661" w:type="dxa"/>
          </w:tcPr>
          <w:p w14:paraId="0A76AC63">
            <w:pPr>
              <w:rPr>
                <w:rFonts w:hint="eastAsia" w:ascii="宋体" w:hAnsi="宋体" w:eastAsia="宋体" w:cs="宋体"/>
                <w:color w:val="auto"/>
                <w:sz w:val="24"/>
                <w:szCs w:val="24"/>
                <w:highlight w:val="none"/>
              </w:rPr>
            </w:pPr>
          </w:p>
        </w:tc>
      </w:tr>
    </w:tbl>
    <w:p w14:paraId="1CBAD31D">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955CF4A">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4C4A3198">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1.1“商务条件”项下填写的内容应与招标文件第五章“商务条件”的内容保持一致。</w:t>
      </w:r>
    </w:p>
    <w:p w14:paraId="3B99C560">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0B44CC0E">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10F04CEC">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419FEFFF">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1D79A08">
      <w:pPr>
        <w:pStyle w:val="6"/>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4B7358BA">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53CE835">
      <w:pPr>
        <w:pStyle w:val="6"/>
        <w:jc w:val="center"/>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四、投标人提交的其他资料（若有）</w:t>
      </w:r>
    </w:p>
    <w:p w14:paraId="19C88F95">
      <w:pPr>
        <w:pStyle w:val="6"/>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19EBBE93">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1、招标文件要求提交的除“资格及资信证明部分”、“报价部分”外的其他证明材料或资料加盖投标人的单位公章后应在此项下提交。</w:t>
      </w:r>
    </w:p>
    <w:p w14:paraId="132B2F4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2、招标文件要求投标人提供方案（包括但不限于：组织、实施、技术、服务方案等）的，投标人应在此项下提交。</w:t>
      </w:r>
    </w:p>
    <w:p w14:paraId="666F57B9">
      <w:pPr>
        <w:pStyle w:val="6"/>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3、除招标文件另有规定外，投标人认为需要提交的其他证明材料或资料加盖投标人的单位公章后应在此项下提交。</w:t>
      </w:r>
    </w:p>
    <w:p w14:paraId="6B35CB45">
      <w:pPr>
        <w:pStyle w:val="6"/>
        <w:rPr>
          <w:rFonts w:hint="eastAsia" w:ascii="宋体" w:hAnsi="宋体" w:eastAsia="宋体" w:cs="宋体"/>
          <w:color w:val="auto"/>
          <w:sz w:val="24"/>
          <w:szCs w:val="24"/>
          <w:highlight w:val="none"/>
          <w:lang w:val="en-US" w:eastAsia="zh-Hans"/>
        </w:rPr>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C04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61C10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561C10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5B3D5"/>
    <w:multiLevelType w:val="singleLevel"/>
    <w:tmpl w:val="3F45B3D5"/>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ZDZjYjc0ZWY3YzdlNDU3MDU2YWMxNzYwZTQ3YzMifQ=="/>
  </w:docVars>
  <w:rsids>
    <w:rsidRoot w:val="53B52B8D"/>
    <w:rsid w:val="013048ED"/>
    <w:rsid w:val="177F50ED"/>
    <w:rsid w:val="29117138"/>
    <w:rsid w:val="34774D16"/>
    <w:rsid w:val="384F0C8B"/>
    <w:rsid w:val="53B52B8D"/>
    <w:rsid w:val="57736663"/>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59516</Words>
  <Characters>61970</Characters>
  <Lines>0</Lines>
  <Paragraphs>0</Paragraphs>
  <TotalTime>13</TotalTime>
  <ScaleCrop>false</ScaleCrop>
  <LinksUpToDate>false</LinksUpToDate>
  <CharactersWithSpaces>62822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小范</cp:lastModifiedBy>
  <dcterms:modified xsi:type="dcterms:W3CDTF">2024-07-29T01:12:08Z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141EF12DA9E745E38694C76655FE7719_13</vt:lpwstr>
  </property>
</Properties>
</file>