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62AF1">
      <w:pPr>
        <w:pStyle w:val="33"/>
        <w:jc w:val="center"/>
        <w:outlineLvl w:val="2"/>
        <w:rPr>
          <w:rFonts w:hint="default" w:ascii="宋体" w:hAnsi="宋体" w:eastAsia="宋体" w:cs="宋体"/>
          <w:b/>
          <w:sz w:val="21"/>
          <w:szCs w:val="21"/>
          <w:lang w:val="en-US"/>
        </w:rPr>
      </w:pPr>
      <w:bookmarkStart w:id="0" w:name="_Toc491271847"/>
      <w:r>
        <w:rPr>
          <w:rFonts w:hint="eastAsia" w:ascii="宋体" w:hAnsi="宋体" w:eastAsia="宋体" w:cs="Times New Roman"/>
          <w:sz w:val="28"/>
          <w:szCs w:val="28"/>
          <w:lang w:eastAsia="zh-CN"/>
        </w:rPr>
        <w:t>地震模拟振动台试验系统采购</w:t>
      </w:r>
      <w:r>
        <w:rPr>
          <w:rFonts w:hint="eastAsia" w:ascii="宋体" w:hAnsi="宋体" w:eastAsia="宋体" w:cs="Times New Roman"/>
          <w:sz w:val="28"/>
          <w:szCs w:val="28"/>
          <w:lang w:val="en-US" w:eastAsia="zh-CN"/>
        </w:rPr>
        <w:t>主要技术参数</w:t>
      </w:r>
    </w:p>
    <w:p w14:paraId="09D1578A">
      <w:pPr>
        <w:pStyle w:val="33"/>
        <w:jc w:val="both"/>
        <w:outlineLvl w:val="2"/>
        <w:rPr>
          <w:rFonts w:ascii="宋体" w:hAnsi="宋体" w:eastAsia="宋体" w:cs="宋体"/>
          <w:b/>
          <w:sz w:val="21"/>
          <w:szCs w:val="21"/>
        </w:rPr>
      </w:pPr>
    </w:p>
    <w:p w14:paraId="6755B4AA">
      <w:pPr>
        <w:pStyle w:val="33"/>
        <w:jc w:val="both"/>
        <w:outlineLvl w:val="2"/>
        <w:rPr>
          <w:rFonts w:hint="default" w:ascii="宋体" w:hAnsi="宋体" w:eastAsia="宋体" w:cs="宋体"/>
          <w:b/>
          <w:bCs/>
          <w:sz w:val="21"/>
          <w:szCs w:val="21"/>
          <w:lang w:eastAsia="zh-CN"/>
        </w:rPr>
      </w:pPr>
      <w:r>
        <w:rPr>
          <w:rFonts w:ascii="宋体" w:hAnsi="宋体" w:eastAsia="宋体" w:cs="宋体"/>
          <w:b/>
          <w:sz w:val="21"/>
          <w:szCs w:val="21"/>
        </w:rPr>
        <w:t>★</w:t>
      </w:r>
      <w:r>
        <w:rPr>
          <w:rFonts w:ascii="宋体" w:hAnsi="宋体" w:eastAsia="宋体" w:cs="宋体"/>
          <w:b/>
          <w:bCs/>
          <w:sz w:val="21"/>
          <w:szCs w:val="21"/>
          <w:lang w:eastAsia="zh-CN"/>
        </w:rPr>
        <w:t>（一）建设内容及基本要求</w:t>
      </w:r>
      <w:bookmarkEnd w:id="0"/>
    </w:p>
    <w:p w14:paraId="5E00D2B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本项目供货范围包括4m×4m三向六自由度地震模拟振动台试验系统1套。具体内容包括整套系统设计、制造、安装、调试及使用培训。</w:t>
      </w:r>
    </w:p>
    <w:p w14:paraId="60A0CB70">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具体基本要求如下：</w:t>
      </w:r>
    </w:p>
    <w:p w14:paraId="13A9656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本项目所采购的货物为4m×4m三向六自由度地震模拟振动台试验系统，主要包括：振动台台面、电液伺服作动器、液压油源和管路系统、控制系统以及其他配套设施等。该系统将和现有多通道电液伺服加载系统构成大型抗震研究试验平台，为设备、结构</w:t>
      </w:r>
      <w:bookmarkStart w:id="11" w:name="_GoBack"/>
      <w:bookmarkEnd w:id="11"/>
      <w:r>
        <w:rPr>
          <w:rFonts w:hint="eastAsia" w:ascii="宋体" w:hAnsi="宋体" w:eastAsia="宋体" w:cs="宋体"/>
          <w:kern w:val="0"/>
          <w:szCs w:val="21"/>
        </w:rPr>
        <w:t>、建筑的疲劳、振动和抗震试验研究提供技术支持。</w:t>
      </w:r>
    </w:p>
    <w:p w14:paraId="64A4C2FD">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kern w:val="0"/>
          <w:szCs w:val="21"/>
        </w:rPr>
        <w:t>（2）</w:t>
      </w:r>
      <w:r>
        <w:rPr>
          <w:rFonts w:hint="eastAsia" w:ascii="宋体" w:hAnsi="宋体" w:eastAsia="宋体" w:cs="宋体"/>
          <w:bCs/>
          <w:szCs w:val="21"/>
        </w:rPr>
        <w:t>中标人应根据采购人现有的场地条件进行设计、加工、制造招标文件中所要求的所有设备，并将整套设备运输、卸货并安装于采购人指定地点。</w:t>
      </w:r>
    </w:p>
    <w:p w14:paraId="1FD94D30">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kern w:val="0"/>
          <w:szCs w:val="21"/>
        </w:rPr>
        <w:t>（3）</w:t>
      </w:r>
      <w:r>
        <w:rPr>
          <w:rFonts w:hint="eastAsia" w:ascii="宋体" w:hAnsi="宋体" w:eastAsia="宋体" w:cs="宋体"/>
          <w:bCs/>
          <w:szCs w:val="21"/>
        </w:rPr>
        <w:t>采购人将为中标人提供工程建设必须的资料。</w:t>
      </w:r>
    </w:p>
    <w:p w14:paraId="6E72E5C7">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kern w:val="0"/>
          <w:szCs w:val="21"/>
        </w:rPr>
        <w:t>（4）</w:t>
      </w:r>
      <w:r>
        <w:rPr>
          <w:rFonts w:hint="eastAsia" w:ascii="宋体" w:hAnsi="宋体" w:eastAsia="宋体" w:cs="宋体"/>
          <w:bCs/>
          <w:szCs w:val="21"/>
        </w:rPr>
        <w:t>投标人应提供所采购整套设备的具体技术实施方案、设计与施工文件、采购货物清单等项目建设全过程资料。</w:t>
      </w:r>
    </w:p>
    <w:p w14:paraId="48E5FE1A">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（5）中标人应按照招标文件要求负责从项目设计、设备运输、设备安装到设备终验收的所有建设任务，并以“交钥匙”方式交付整套可正常运转的全新设备。</w:t>
      </w:r>
    </w:p>
    <w:p w14:paraId="3A51FA32">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（6）系统整体技术水平应先进、可靠、稳定；投标货物制造标准、安装标准、技术规范等相关标准应齐全且完整。</w:t>
      </w:r>
    </w:p>
    <w:p w14:paraId="75F82654">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（7）设备应有较高的知名度，在全球范围内具有良好的用户口碑。</w:t>
      </w:r>
    </w:p>
    <w:p w14:paraId="4BE3605F">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（8）控制系统应采用先进、实用的控制方式，投标人应针对所投系统运用情况提供演示光盘，展示系统的功能性、先进性以及实用性。</w:t>
      </w:r>
    </w:p>
    <w:p w14:paraId="6CF5001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（9）投标人针对本项目的系统设计方案合理，系统完整，系统先进。</w:t>
      </w:r>
    </w:p>
    <w:p w14:paraId="0E115B8F">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（10）对投标设备制造商的要求</w:t>
      </w:r>
    </w:p>
    <w:p w14:paraId="4AF2315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1）投标设备制造商在中国必须有独立办事机构和为该系统设立专门售后维修服务人员。</w:t>
      </w:r>
    </w:p>
    <w:p w14:paraId="485B15B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2）投标设备制造商完应具有从事所做技术工作的资质（如设计、制造、安装等）。所有设计、制造及安装工作应按本合同规定的技术要求及相关的国际和中国的技术规范要求进行。设备安装应按中国机电设备安装相关规范进行。 </w:t>
      </w:r>
    </w:p>
    <w:p w14:paraId="695D0224">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（11）本项目的质量保证期至少1年。</w:t>
      </w:r>
      <w:bookmarkStart w:id="1" w:name="_Toc491271848"/>
    </w:p>
    <w:p w14:paraId="3028182A">
      <w:pPr>
        <w:adjustRightInd w:val="0"/>
        <w:snapToGrid w:val="0"/>
        <w:spacing w:line="360" w:lineRule="auto"/>
        <w:rPr>
          <w:rFonts w:ascii="宋体" w:hAnsi="宋体" w:eastAsia="宋体" w:cs="宋体"/>
          <w:b/>
          <w:kern w:val="0"/>
          <w:szCs w:val="21"/>
        </w:rPr>
      </w:pPr>
      <w:r>
        <w:rPr>
          <w:rFonts w:hint="eastAsia" w:ascii="宋体" w:hAnsi="宋体" w:eastAsia="宋体" w:cs="宋体"/>
          <w:b/>
          <w:szCs w:val="21"/>
        </w:rPr>
        <w:t>★</w:t>
      </w:r>
      <w:r>
        <w:rPr>
          <w:rFonts w:hint="eastAsia" w:ascii="宋体" w:hAnsi="宋体" w:eastAsia="宋体" w:cs="宋体"/>
          <w:b/>
          <w:bCs/>
          <w:szCs w:val="21"/>
        </w:rPr>
        <w:t>（二）技术规格与要求</w:t>
      </w:r>
      <w:bookmarkEnd w:id="1"/>
      <w:r>
        <w:rPr>
          <w:rFonts w:hint="eastAsia" w:ascii="宋体" w:hAnsi="宋体" w:eastAsia="宋体" w:cs="宋体"/>
          <w:b/>
          <w:bCs/>
          <w:szCs w:val="21"/>
        </w:rPr>
        <w:t>：</w:t>
      </w:r>
      <w:r>
        <w:rPr>
          <w:rFonts w:hint="eastAsia" w:ascii="宋体" w:hAnsi="宋体" w:eastAsia="宋体" w:cs="宋体"/>
          <w:b/>
          <w:kern w:val="0"/>
          <w:szCs w:val="21"/>
        </w:rPr>
        <w:t>4m×4m三向六自由度地震模拟振动台试验系统主要技术参数</w:t>
      </w:r>
    </w:p>
    <w:p w14:paraId="0D33CB1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（1）台面尺寸：4m×4m</w:t>
      </w:r>
    </w:p>
    <w:p w14:paraId="1703F8CB">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（2）控制自由度：3向6自由度</w:t>
      </w:r>
    </w:p>
    <w:p w14:paraId="0E6C54BF">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（3）最大模型质量：≥20ton（所有工作频段范围内）</w:t>
      </w:r>
    </w:p>
    <w:p w14:paraId="6CFBE46C">
      <w:pPr>
        <w:adjustRightInd w:val="0"/>
        <w:snapToGrid w:val="0"/>
        <w:spacing w:line="360" w:lineRule="auto"/>
        <w:ind w:firstLine="420" w:firstLineChars="200"/>
        <w:rPr>
          <w:rFonts w:ascii="宋体" w:hAnsi="宋体" w:eastAsia="宋体" w:cs="宋体"/>
          <w:kern w:val="0"/>
          <w:szCs w:val="21"/>
        </w:rPr>
      </w:pPr>
      <w:bookmarkStart w:id="2" w:name="OLE_LINK5"/>
      <w:bookmarkStart w:id="3" w:name="OLE_LINK6"/>
      <w:r>
        <w:rPr>
          <w:rFonts w:hint="eastAsia" w:ascii="宋体" w:hAnsi="宋体" w:eastAsia="宋体" w:cs="宋体"/>
          <w:kern w:val="0"/>
          <w:szCs w:val="21"/>
        </w:rPr>
        <w:t>（4）台面自重：约14ton</w:t>
      </w:r>
    </w:p>
    <w:p w14:paraId="1676F68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w:t>
      </w:r>
      <w:bookmarkEnd w:id="2"/>
      <w:bookmarkEnd w:id="3"/>
      <w:r>
        <w:rPr>
          <w:rFonts w:hint="eastAsia" w:ascii="宋体" w:hAnsi="宋体" w:eastAsia="宋体" w:cs="宋体"/>
          <w:kern w:val="0"/>
          <w:szCs w:val="21"/>
        </w:rPr>
        <w:t>）最大倾覆力矩：≥600kN·m</w:t>
      </w:r>
    </w:p>
    <w:p w14:paraId="6CDD47A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（6）工作频段：0.1～50Hz</w:t>
      </w:r>
    </w:p>
    <w:p w14:paraId="0013AA7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（7）台面满载最大加速度：X/Y：1.5g；Z：1.3g</w:t>
      </w:r>
    </w:p>
    <w:p w14:paraId="0D8053F5">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（8）台面正弦波振动最大速度：X/Y：1.5m/s；Z：1m/s</w:t>
      </w:r>
    </w:p>
    <w:p w14:paraId="0F21899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（9）台面最大位移：X/Y：±0.3m；Z：±0.25m</w:t>
      </w:r>
    </w:p>
    <w:p w14:paraId="14A9289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（10）允许不小于20%过载能力</w:t>
      </w:r>
    </w:p>
    <w:p w14:paraId="3887075C">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（11）台面空载最大加速度：X/Y：≥3g；Z：≥2.5g</w:t>
      </w:r>
      <w:bookmarkStart w:id="4" w:name="_Toc491271849"/>
    </w:p>
    <w:p w14:paraId="3608935D">
      <w:pPr>
        <w:adjustRightInd w:val="0"/>
        <w:snapToGrid w:val="0"/>
        <w:spacing w:line="360" w:lineRule="auto"/>
        <w:rPr>
          <w:rFonts w:hint="eastAsia" w:ascii="宋体" w:hAnsi="宋体" w:eastAsia="宋体" w:cs="宋体"/>
          <w:b/>
          <w:bCs/>
          <w:szCs w:val="21"/>
        </w:rPr>
      </w:pPr>
      <w:r>
        <w:rPr>
          <w:rFonts w:hint="eastAsia" w:ascii="宋体" w:hAnsi="宋体" w:eastAsia="宋体" w:cs="宋体"/>
          <w:b/>
          <w:bCs/>
          <w:szCs w:val="21"/>
        </w:rPr>
        <w:t>（三）主要配置及要求</w:t>
      </w:r>
      <w:bookmarkEnd w:id="4"/>
    </w:p>
    <w:p w14:paraId="3240544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设备清单</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31"/>
        <w:gridCol w:w="6196"/>
        <w:gridCol w:w="783"/>
      </w:tblGrid>
      <w:tr w14:paraId="504E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68EF21BB">
            <w:pPr>
              <w:jc w:val="center"/>
              <w:rPr>
                <w:rFonts w:ascii="宋体" w:hAnsi="宋体" w:eastAsia="宋体" w:cs="宋体"/>
                <w:szCs w:val="21"/>
              </w:rPr>
            </w:pPr>
            <w:r>
              <w:rPr>
                <w:rFonts w:hint="eastAsia" w:ascii="宋体" w:hAnsi="宋体" w:eastAsia="宋体" w:cs="宋体"/>
                <w:szCs w:val="21"/>
              </w:rPr>
              <w:t>序号</w:t>
            </w:r>
          </w:p>
        </w:tc>
        <w:tc>
          <w:tcPr>
            <w:tcW w:w="956" w:type="pct"/>
            <w:shd w:val="clear" w:color="auto" w:fill="auto"/>
            <w:vAlign w:val="center"/>
          </w:tcPr>
          <w:p w14:paraId="38EDE444">
            <w:pPr>
              <w:jc w:val="center"/>
              <w:rPr>
                <w:rFonts w:ascii="宋体" w:hAnsi="宋体" w:eastAsia="宋体" w:cs="宋体"/>
                <w:szCs w:val="21"/>
              </w:rPr>
            </w:pPr>
            <w:r>
              <w:rPr>
                <w:rFonts w:hint="eastAsia" w:ascii="宋体" w:hAnsi="宋体" w:eastAsia="宋体" w:cs="宋体"/>
                <w:szCs w:val="21"/>
              </w:rPr>
              <w:t>名称</w:t>
            </w:r>
          </w:p>
        </w:tc>
        <w:tc>
          <w:tcPr>
            <w:tcW w:w="3235" w:type="pct"/>
            <w:shd w:val="clear" w:color="auto" w:fill="auto"/>
            <w:vAlign w:val="center"/>
          </w:tcPr>
          <w:p w14:paraId="195ADCAC">
            <w:pPr>
              <w:jc w:val="center"/>
              <w:rPr>
                <w:rFonts w:ascii="宋体" w:hAnsi="宋体" w:eastAsia="宋体" w:cs="宋体"/>
                <w:szCs w:val="21"/>
              </w:rPr>
            </w:pPr>
            <w:r>
              <w:rPr>
                <w:rFonts w:hint="eastAsia" w:ascii="宋体" w:hAnsi="宋体" w:eastAsia="宋体" w:cs="宋体"/>
                <w:szCs w:val="21"/>
              </w:rPr>
              <w:t>主要规格</w:t>
            </w:r>
          </w:p>
        </w:tc>
        <w:tc>
          <w:tcPr>
            <w:tcW w:w="409" w:type="pct"/>
            <w:shd w:val="clear" w:color="auto" w:fill="auto"/>
            <w:vAlign w:val="center"/>
          </w:tcPr>
          <w:p w14:paraId="4DD06F67">
            <w:pPr>
              <w:jc w:val="center"/>
              <w:rPr>
                <w:rFonts w:ascii="宋体" w:hAnsi="宋体" w:eastAsia="宋体" w:cs="宋体"/>
                <w:szCs w:val="21"/>
              </w:rPr>
            </w:pPr>
            <w:r>
              <w:rPr>
                <w:rFonts w:hint="eastAsia" w:ascii="宋体" w:hAnsi="宋体" w:eastAsia="宋体" w:cs="宋体"/>
                <w:szCs w:val="21"/>
              </w:rPr>
              <w:t>数量</w:t>
            </w:r>
          </w:p>
        </w:tc>
      </w:tr>
      <w:tr w14:paraId="7BA3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70ED573E">
            <w:pPr>
              <w:jc w:val="center"/>
              <w:rPr>
                <w:rFonts w:ascii="宋体" w:hAnsi="宋体" w:eastAsia="宋体" w:cs="宋体"/>
                <w:color w:val="000000"/>
                <w:szCs w:val="21"/>
              </w:rPr>
            </w:pPr>
            <w:r>
              <w:rPr>
                <w:rFonts w:hint="eastAsia" w:ascii="宋体" w:hAnsi="宋体" w:eastAsia="宋体" w:cs="宋体"/>
                <w:color w:val="000000"/>
                <w:szCs w:val="21"/>
              </w:rPr>
              <w:t>1</w:t>
            </w:r>
          </w:p>
        </w:tc>
        <w:tc>
          <w:tcPr>
            <w:tcW w:w="956" w:type="pct"/>
            <w:shd w:val="clear" w:color="auto" w:fill="auto"/>
            <w:vAlign w:val="center"/>
          </w:tcPr>
          <w:p w14:paraId="5C38E2F4">
            <w:pPr>
              <w:jc w:val="center"/>
              <w:rPr>
                <w:rFonts w:ascii="宋体" w:hAnsi="宋体" w:eastAsia="宋体" w:cs="宋体"/>
                <w:szCs w:val="21"/>
              </w:rPr>
            </w:pPr>
            <w:r>
              <w:rPr>
                <w:rFonts w:hint="eastAsia" w:ascii="宋体" w:hAnsi="宋体" w:eastAsia="宋体" w:cs="宋体"/>
                <w:color w:val="000000"/>
                <w:szCs w:val="21"/>
              </w:rPr>
              <w:t>台面</w:t>
            </w:r>
          </w:p>
        </w:tc>
        <w:tc>
          <w:tcPr>
            <w:tcW w:w="3235" w:type="pct"/>
            <w:shd w:val="clear" w:color="auto" w:fill="auto"/>
            <w:vAlign w:val="center"/>
          </w:tcPr>
          <w:p w14:paraId="0D67872E">
            <w:pPr>
              <w:jc w:val="left"/>
              <w:rPr>
                <w:rFonts w:ascii="宋体" w:hAnsi="宋体" w:eastAsia="宋体" w:cs="宋体"/>
                <w:szCs w:val="21"/>
              </w:rPr>
            </w:pPr>
            <w:r>
              <w:rPr>
                <w:rFonts w:hint="eastAsia" w:ascii="宋体" w:hAnsi="宋体" w:eastAsia="宋体" w:cs="宋体"/>
                <w:szCs w:val="21"/>
              </w:rPr>
              <w:t>台面上表面应预留螺栓孔，间距（≤500mm）。</w:t>
            </w:r>
          </w:p>
          <w:p w14:paraId="57B9AFB3">
            <w:pPr>
              <w:jc w:val="left"/>
              <w:rPr>
                <w:rFonts w:ascii="宋体" w:hAnsi="宋体" w:eastAsia="宋体" w:cs="宋体"/>
                <w:szCs w:val="21"/>
              </w:rPr>
            </w:pPr>
            <w:r>
              <w:rPr>
                <w:rFonts w:hint="eastAsia" w:ascii="宋体" w:hAnsi="宋体" w:eastAsia="宋体" w:cs="宋体"/>
                <w:szCs w:val="21"/>
              </w:rPr>
              <w:t>台面平整度优于±0.5mm/m；台面孔位、孔径误差不超过0.2mm；台面外形尺寸误差不超过2mm。</w:t>
            </w:r>
          </w:p>
          <w:p w14:paraId="09964484">
            <w:pPr>
              <w:jc w:val="left"/>
              <w:rPr>
                <w:rFonts w:ascii="宋体" w:hAnsi="宋体" w:eastAsia="宋体" w:cs="宋体"/>
                <w:szCs w:val="21"/>
              </w:rPr>
            </w:pPr>
            <w:r>
              <w:rPr>
                <w:rFonts w:hint="eastAsia" w:ascii="宋体" w:hAnsi="宋体" w:eastAsia="宋体" w:cs="宋体"/>
                <w:szCs w:val="21"/>
              </w:rPr>
              <w:t>台面分别配有至少11个加速度传感器，且满足系统监测要求。</w:t>
            </w:r>
          </w:p>
        </w:tc>
        <w:tc>
          <w:tcPr>
            <w:tcW w:w="409" w:type="pct"/>
            <w:shd w:val="clear" w:color="auto" w:fill="auto"/>
            <w:vAlign w:val="center"/>
          </w:tcPr>
          <w:p w14:paraId="64CF314D">
            <w:pPr>
              <w:jc w:val="center"/>
              <w:rPr>
                <w:rFonts w:ascii="宋体" w:hAnsi="宋体" w:eastAsia="宋体" w:cs="宋体"/>
                <w:szCs w:val="21"/>
              </w:rPr>
            </w:pPr>
            <w:r>
              <w:rPr>
                <w:rFonts w:hint="eastAsia" w:ascii="宋体" w:hAnsi="宋体" w:eastAsia="宋体" w:cs="宋体"/>
                <w:szCs w:val="21"/>
              </w:rPr>
              <w:t>1部</w:t>
            </w:r>
          </w:p>
        </w:tc>
      </w:tr>
      <w:tr w14:paraId="7C4C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40775782">
            <w:pPr>
              <w:jc w:val="center"/>
              <w:rPr>
                <w:rFonts w:ascii="宋体" w:hAnsi="宋体" w:eastAsia="宋体" w:cs="宋体"/>
                <w:color w:val="000000"/>
                <w:szCs w:val="21"/>
              </w:rPr>
            </w:pPr>
            <w:r>
              <w:rPr>
                <w:rFonts w:hint="eastAsia" w:ascii="宋体" w:hAnsi="宋体" w:eastAsia="宋体" w:cs="宋体"/>
                <w:color w:val="000000"/>
                <w:szCs w:val="21"/>
              </w:rPr>
              <w:t>2</w:t>
            </w:r>
          </w:p>
        </w:tc>
        <w:tc>
          <w:tcPr>
            <w:tcW w:w="956" w:type="pct"/>
            <w:shd w:val="clear" w:color="auto" w:fill="auto"/>
            <w:vAlign w:val="center"/>
          </w:tcPr>
          <w:p w14:paraId="3D64EDF8">
            <w:pPr>
              <w:jc w:val="center"/>
              <w:rPr>
                <w:rFonts w:ascii="宋体" w:hAnsi="宋体" w:eastAsia="宋体" w:cs="宋体"/>
                <w:szCs w:val="21"/>
              </w:rPr>
            </w:pPr>
            <w:r>
              <w:rPr>
                <w:rFonts w:hint="eastAsia" w:ascii="宋体" w:hAnsi="宋体" w:eastAsia="宋体" w:cs="宋体"/>
                <w:color w:val="000000"/>
                <w:szCs w:val="21"/>
              </w:rPr>
              <w:t>水平液压作动器</w:t>
            </w:r>
          </w:p>
        </w:tc>
        <w:tc>
          <w:tcPr>
            <w:tcW w:w="3235" w:type="pct"/>
            <w:shd w:val="clear" w:color="auto" w:fill="auto"/>
            <w:vAlign w:val="center"/>
          </w:tcPr>
          <w:p w14:paraId="640A1178">
            <w:pPr>
              <w:jc w:val="left"/>
              <w:rPr>
                <w:rFonts w:ascii="宋体" w:hAnsi="宋体" w:eastAsia="宋体" w:cs="宋体"/>
                <w:szCs w:val="21"/>
              </w:rPr>
            </w:pPr>
            <w:r>
              <w:rPr>
                <w:rFonts w:hint="eastAsia" w:ascii="宋体" w:hAnsi="宋体" w:eastAsia="宋体" w:cs="宋体"/>
                <w:szCs w:val="21"/>
              </w:rPr>
              <w:t>动态行程≥± 300mm。</w:t>
            </w:r>
          </w:p>
          <w:p w14:paraId="714D0248">
            <w:pPr>
              <w:jc w:val="left"/>
              <w:rPr>
                <w:rFonts w:ascii="宋体" w:hAnsi="宋体" w:eastAsia="宋体" w:cs="宋体"/>
                <w:szCs w:val="21"/>
              </w:rPr>
            </w:pPr>
            <w:r>
              <w:rPr>
                <w:rFonts w:hint="eastAsia" w:ascii="宋体" w:hAnsi="宋体" w:eastAsia="宋体" w:cs="宋体"/>
                <w:szCs w:val="21"/>
              </w:rPr>
              <w:t>配置高频响三级伺服阀。</w:t>
            </w:r>
          </w:p>
          <w:p w14:paraId="325D6E42">
            <w:pPr>
              <w:jc w:val="left"/>
              <w:rPr>
                <w:rFonts w:ascii="宋体" w:hAnsi="宋体" w:eastAsia="宋体" w:cs="宋体"/>
                <w:szCs w:val="21"/>
              </w:rPr>
            </w:pPr>
            <w:r>
              <w:rPr>
                <w:rFonts w:hint="eastAsia" w:ascii="宋体" w:hAnsi="宋体" w:eastAsia="宋体" w:cs="宋体"/>
                <w:szCs w:val="21"/>
              </w:rPr>
              <w:t>位移传感器。</w:t>
            </w:r>
          </w:p>
          <w:p w14:paraId="455B953F">
            <w:pPr>
              <w:jc w:val="left"/>
              <w:rPr>
                <w:rFonts w:ascii="宋体" w:hAnsi="宋体" w:eastAsia="宋体" w:cs="宋体"/>
                <w:szCs w:val="21"/>
              </w:rPr>
            </w:pPr>
            <w:r>
              <w:rPr>
                <w:rFonts w:hint="eastAsia" w:ascii="宋体" w:hAnsi="宋体" w:eastAsia="宋体" w:cs="宋体"/>
                <w:szCs w:val="21"/>
              </w:rPr>
              <w:t>紧密耦合蓄能器。</w:t>
            </w:r>
          </w:p>
        </w:tc>
        <w:tc>
          <w:tcPr>
            <w:tcW w:w="409" w:type="pct"/>
            <w:shd w:val="clear" w:color="auto" w:fill="auto"/>
            <w:vAlign w:val="center"/>
          </w:tcPr>
          <w:p w14:paraId="65795F5C">
            <w:pPr>
              <w:jc w:val="center"/>
              <w:rPr>
                <w:rFonts w:ascii="宋体" w:hAnsi="宋体" w:eastAsia="宋体" w:cs="宋体"/>
                <w:szCs w:val="21"/>
              </w:rPr>
            </w:pPr>
            <w:r>
              <w:rPr>
                <w:rFonts w:hint="eastAsia" w:ascii="宋体" w:hAnsi="宋体" w:eastAsia="宋体" w:cs="宋体"/>
                <w:szCs w:val="21"/>
              </w:rPr>
              <w:t>4部</w:t>
            </w:r>
          </w:p>
        </w:tc>
      </w:tr>
      <w:tr w14:paraId="0C31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151633F5">
            <w:pPr>
              <w:jc w:val="center"/>
              <w:rPr>
                <w:rFonts w:ascii="宋体" w:hAnsi="宋体" w:eastAsia="宋体" w:cs="宋体"/>
                <w:color w:val="000000"/>
                <w:szCs w:val="21"/>
              </w:rPr>
            </w:pPr>
            <w:r>
              <w:rPr>
                <w:rFonts w:hint="eastAsia" w:ascii="宋体" w:hAnsi="宋体" w:eastAsia="宋体" w:cs="宋体"/>
                <w:color w:val="000000"/>
                <w:szCs w:val="21"/>
              </w:rPr>
              <w:t>3</w:t>
            </w:r>
          </w:p>
        </w:tc>
        <w:tc>
          <w:tcPr>
            <w:tcW w:w="956" w:type="pct"/>
            <w:shd w:val="clear" w:color="auto" w:fill="auto"/>
            <w:vAlign w:val="center"/>
          </w:tcPr>
          <w:p w14:paraId="0FD3F4C8">
            <w:pPr>
              <w:jc w:val="center"/>
              <w:rPr>
                <w:rFonts w:ascii="宋体" w:hAnsi="宋体" w:eastAsia="宋体" w:cs="宋体"/>
                <w:szCs w:val="21"/>
              </w:rPr>
            </w:pPr>
            <w:r>
              <w:rPr>
                <w:rFonts w:hint="eastAsia" w:ascii="宋体" w:hAnsi="宋体" w:eastAsia="宋体" w:cs="宋体"/>
                <w:color w:val="000000"/>
                <w:szCs w:val="21"/>
              </w:rPr>
              <w:t>垂向液压作动器</w:t>
            </w:r>
          </w:p>
        </w:tc>
        <w:tc>
          <w:tcPr>
            <w:tcW w:w="3235" w:type="pct"/>
            <w:shd w:val="clear" w:color="auto" w:fill="auto"/>
            <w:vAlign w:val="center"/>
          </w:tcPr>
          <w:p w14:paraId="516247AA">
            <w:pPr>
              <w:jc w:val="left"/>
              <w:rPr>
                <w:rFonts w:ascii="宋体" w:hAnsi="宋体" w:eastAsia="宋体" w:cs="宋体"/>
                <w:szCs w:val="21"/>
              </w:rPr>
            </w:pPr>
            <w:r>
              <w:rPr>
                <w:rFonts w:hint="eastAsia" w:ascii="宋体" w:hAnsi="宋体" w:eastAsia="宋体" w:cs="宋体"/>
                <w:szCs w:val="21"/>
              </w:rPr>
              <w:t>动态行程≥± 250mm。</w:t>
            </w:r>
          </w:p>
          <w:p w14:paraId="426428A3">
            <w:pPr>
              <w:jc w:val="left"/>
              <w:rPr>
                <w:rFonts w:ascii="宋体" w:hAnsi="宋体" w:eastAsia="宋体" w:cs="宋体"/>
                <w:szCs w:val="21"/>
              </w:rPr>
            </w:pPr>
            <w:r>
              <w:rPr>
                <w:rFonts w:hint="eastAsia" w:ascii="宋体" w:hAnsi="宋体" w:eastAsia="宋体" w:cs="宋体"/>
                <w:szCs w:val="21"/>
              </w:rPr>
              <w:t>配置高频响三级伺服阀。</w:t>
            </w:r>
          </w:p>
          <w:p w14:paraId="1777D3ED">
            <w:pPr>
              <w:jc w:val="left"/>
              <w:rPr>
                <w:rFonts w:ascii="宋体" w:hAnsi="宋体" w:eastAsia="宋体" w:cs="宋体"/>
                <w:szCs w:val="21"/>
              </w:rPr>
            </w:pPr>
            <w:r>
              <w:rPr>
                <w:rFonts w:hint="eastAsia" w:ascii="宋体" w:hAnsi="宋体" w:eastAsia="宋体" w:cs="宋体"/>
                <w:szCs w:val="21"/>
              </w:rPr>
              <w:t>位移传感器。</w:t>
            </w:r>
          </w:p>
          <w:p w14:paraId="6B09F559">
            <w:pPr>
              <w:jc w:val="left"/>
              <w:rPr>
                <w:rFonts w:ascii="宋体" w:hAnsi="宋体" w:eastAsia="宋体" w:cs="宋体"/>
                <w:szCs w:val="21"/>
              </w:rPr>
            </w:pPr>
            <w:r>
              <w:rPr>
                <w:rFonts w:hint="eastAsia" w:ascii="宋体" w:hAnsi="宋体" w:eastAsia="宋体" w:cs="宋体"/>
                <w:szCs w:val="21"/>
              </w:rPr>
              <w:t>紧密耦合蓄能器。</w:t>
            </w:r>
          </w:p>
        </w:tc>
        <w:tc>
          <w:tcPr>
            <w:tcW w:w="409" w:type="pct"/>
            <w:shd w:val="clear" w:color="auto" w:fill="auto"/>
            <w:vAlign w:val="center"/>
          </w:tcPr>
          <w:p w14:paraId="781657C2">
            <w:pPr>
              <w:jc w:val="center"/>
              <w:rPr>
                <w:rFonts w:ascii="宋体" w:hAnsi="宋体" w:eastAsia="宋体" w:cs="宋体"/>
                <w:szCs w:val="21"/>
              </w:rPr>
            </w:pPr>
            <w:r>
              <w:rPr>
                <w:rFonts w:hint="eastAsia" w:ascii="宋体" w:hAnsi="宋体" w:eastAsia="宋体" w:cs="宋体"/>
                <w:szCs w:val="21"/>
              </w:rPr>
              <w:t>4部</w:t>
            </w:r>
          </w:p>
        </w:tc>
      </w:tr>
      <w:tr w14:paraId="2DDF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650F69ED">
            <w:pPr>
              <w:jc w:val="center"/>
              <w:rPr>
                <w:rFonts w:ascii="宋体" w:hAnsi="宋体" w:eastAsia="宋体" w:cs="宋体"/>
                <w:color w:val="000000"/>
                <w:szCs w:val="21"/>
              </w:rPr>
            </w:pPr>
            <w:r>
              <w:rPr>
                <w:rFonts w:hint="eastAsia" w:ascii="宋体" w:hAnsi="宋体" w:eastAsia="宋体" w:cs="宋体"/>
                <w:color w:val="000000"/>
                <w:szCs w:val="21"/>
              </w:rPr>
              <w:t>4</w:t>
            </w:r>
          </w:p>
        </w:tc>
        <w:tc>
          <w:tcPr>
            <w:tcW w:w="956" w:type="pct"/>
            <w:shd w:val="clear" w:color="auto" w:fill="auto"/>
            <w:vAlign w:val="center"/>
          </w:tcPr>
          <w:p w14:paraId="1B5F9D8A">
            <w:pPr>
              <w:jc w:val="center"/>
              <w:rPr>
                <w:rFonts w:ascii="宋体" w:hAnsi="宋体" w:eastAsia="宋体" w:cs="宋体"/>
                <w:szCs w:val="21"/>
              </w:rPr>
            </w:pPr>
            <w:r>
              <w:rPr>
                <w:rFonts w:hint="eastAsia" w:ascii="宋体" w:hAnsi="宋体" w:eastAsia="宋体" w:cs="宋体"/>
                <w:color w:val="000000"/>
                <w:szCs w:val="21"/>
              </w:rPr>
              <w:t>液压源及硬管路</w:t>
            </w:r>
          </w:p>
        </w:tc>
        <w:tc>
          <w:tcPr>
            <w:tcW w:w="3235" w:type="pct"/>
            <w:shd w:val="clear" w:color="auto" w:fill="auto"/>
            <w:vAlign w:val="center"/>
          </w:tcPr>
          <w:p w14:paraId="3E2B74F3">
            <w:pPr>
              <w:jc w:val="left"/>
              <w:rPr>
                <w:rFonts w:ascii="宋体" w:hAnsi="宋体" w:eastAsia="宋体" w:cs="宋体"/>
                <w:szCs w:val="21"/>
              </w:rPr>
            </w:pPr>
            <w:r>
              <w:rPr>
                <w:rFonts w:hint="eastAsia" w:ascii="宋体" w:hAnsi="宋体" w:eastAsia="宋体" w:cs="宋体"/>
                <w:szCs w:val="21"/>
              </w:rPr>
              <w:t>工作压力：21MPa。</w:t>
            </w:r>
          </w:p>
          <w:p w14:paraId="24326280">
            <w:pPr>
              <w:jc w:val="left"/>
              <w:rPr>
                <w:rFonts w:ascii="宋体" w:hAnsi="宋体" w:eastAsia="宋体" w:cs="宋体"/>
                <w:szCs w:val="21"/>
              </w:rPr>
            </w:pPr>
            <w:r>
              <w:rPr>
                <w:rFonts w:hint="eastAsia" w:ascii="宋体" w:hAnsi="宋体" w:eastAsia="宋体" w:cs="宋体"/>
                <w:szCs w:val="21"/>
              </w:rPr>
              <w:t>总流量≥1200LPM。</w:t>
            </w:r>
          </w:p>
          <w:p w14:paraId="3BF98245">
            <w:pPr>
              <w:jc w:val="left"/>
              <w:rPr>
                <w:rFonts w:ascii="宋体" w:hAnsi="宋体" w:eastAsia="宋体" w:cs="宋体"/>
                <w:szCs w:val="21"/>
              </w:rPr>
            </w:pPr>
            <w:r>
              <w:rPr>
                <w:rFonts w:hint="eastAsia" w:ascii="宋体" w:hAnsi="宋体" w:eastAsia="宋体" w:cs="宋体"/>
                <w:szCs w:val="21"/>
              </w:rPr>
              <w:t>液压管路布局根据实验室设计，满足不低于1800LPM流量需求。</w:t>
            </w:r>
          </w:p>
        </w:tc>
        <w:tc>
          <w:tcPr>
            <w:tcW w:w="409" w:type="pct"/>
            <w:shd w:val="clear" w:color="auto" w:fill="auto"/>
            <w:vAlign w:val="center"/>
          </w:tcPr>
          <w:p w14:paraId="6E076CA0">
            <w:pPr>
              <w:jc w:val="center"/>
              <w:rPr>
                <w:rFonts w:ascii="宋体" w:hAnsi="宋体" w:eastAsia="宋体" w:cs="宋体"/>
                <w:szCs w:val="21"/>
              </w:rPr>
            </w:pPr>
            <w:r>
              <w:rPr>
                <w:rFonts w:hint="eastAsia" w:ascii="宋体" w:hAnsi="宋体" w:eastAsia="宋体" w:cs="宋体"/>
                <w:szCs w:val="21"/>
              </w:rPr>
              <w:t>1套</w:t>
            </w:r>
          </w:p>
        </w:tc>
      </w:tr>
      <w:tr w14:paraId="1C67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67004897">
            <w:pPr>
              <w:jc w:val="center"/>
              <w:rPr>
                <w:rFonts w:ascii="宋体" w:hAnsi="宋体" w:eastAsia="宋体" w:cs="宋体"/>
                <w:szCs w:val="21"/>
              </w:rPr>
            </w:pPr>
            <w:r>
              <w:rPr>
                <w:rFonts w:hint="eastAsia" w:ascii="宋体" w:hAnsi="宋体" w:eastAsia="宋体" w:cs="宋体"/>
                <w:szCs w:val="21"/>
              </w:rPr>
              <w:t>5</w:t>
            </w:r>
          </w:p>
        </w:tc>
        <w:tc>
          <w:tcPr>
            <w:tcW w:w="956" w:type="pct"/>
            <w:shd w:val="clear" w:color="auto" w:fill="auto"/>
            <w:vAlign w:val="center"/>
          </w:tcPr>
          <w:p w14:paraId="10EDA6AB">
            <w:pPr>
              <w:jc w:val="center"/>
              <w:rPr>
                <w:rFonts w:ascii="宋体" w:hAnsi="宋体" w:eastAsia="宋体" w:cs="宋体"/>
                <w:szCs w:val="21"/>
              </w:rPr>
            </w:pPr>
            <w:r>
              <w:rPr>
                <w:rFonts w:hint="eastAsia" w:ascii="宋体" w:hAnsi="宋体" w:eastAsia="宋体" w:cs="宋体"/>
                <w:szCs w:val="21"/>
              </w:rPr>
              <w:t>全数字控制系统</w:t>
            </w:r>
          </w:p>
        </w:tc>
        <w:tc>
          <w:tcPr>
            <w:tcW w:w="3235" w:type="pct"/>
            <w:shd w:val="clear" w:color="auto" w:fill="auto"/>
            <w:vAlign w:val="center"/>
          </w:tcPr>
          <w:p w14:paraId="081FB17C">
            <w:pPr>
              <w:jc w:val="left"/>
              <w:rPr>
                <w:rFonts w:ascii="宋体" w:hAnsi="宋体" w:eastAsia="宋体" w:cs="宋体"/>
                <w:szCs w:val="21"/>
              </w:rPr>
            </w:pPr>
            <w:r>
              <w:rPr>
                <w:rFonts w:hint="eastAsia" w:ascii="宋体" w:hAnsi="宋体" w:eastAsia="宋体" w:cs="宋体"/>
                <w:szCs w:val="21"/>
              </w:rPr>
              <w:t>全数字控制器必须采用MVME总线技术</w:t>
            </w:r>
          </w:p>
          <w:p w14:paraId="42E8A0D6">
            <w:pPr>
              <w:jc w:val="left"/>
              <w:rPr>
                <w:rFonts w:ascii="宋体" w:hAnsi="宋体" w:eastAsia="宋体" w:cs="宋体"/>
                <w:szCs w:val="21"/>
              </w:rPr>
            </w:pPr>
            <w:r>
              <w:rPr>
                <w:rFonts w:hint="eastAsia" w:ascii="宋体" w:hAnsi="宋体" w:eastAsia="宋体" w:cs="宋体"/>
                <w:szCs w:val="21"/>
              </w:rPr>
              <w:t>振动台控制系统闭环控制速率≥6kHz。</w:t>
            </w:r>
          </w:p>
          <w:p w14:paraId="716F13D2">
            <w:pPr>
              <w:jc w:val="left"/>
              <w:rPr>
                <w:rFonts w:ascii="宋体" w:hAnsi="宋体" w:eastAsia="宋体" w:cs="宋体"/>
                <w:szCs w:val="21"/>
              </w:rPr>
            </w:pPr>
            <w:r>
              <w:rPr>
                <w:rFonts w:hint="eastAsia" w:ascii="宋体" w:hAnsi="宋体" w:eastAsia="宋体" w:cs="宋体"/>
                <w:szCs w:val="21"/>
              </w:rPr>
              <w:t>实时控制闭环迭代速率：≥1kHz。</w:t>
            </w:r>
          </w:p>
          <w:p w14:paraId="4D585693">
            <w:pPr>
              <w:jc w:val="left"/>
              <w:rPr>
                <w:rFonts w:ascii="宋体" w:hAnsi="宋体" w:eastAsia="宋体" w:cs="宋体"/>
                <w:szCs w:val="21"/>
              </w:rPr>
            </w:pPr>
            <w:r>
              <w:rPr>
                <w:rFonts w:hint="eastAsia" w:ascii="宋体" w:hAnsi="宋体" w:eastAsia="宋体" w:cs="宋体"/>
                <w:szCs w:val="21"/>
              </w:rPr>
              <w:t>数据采集频率：≥100KHZ。</w:t>
            </w:r>
          </w:p>
          <w:p w14:paraId="50FE25D6">
            <w:pPr>
              <w:jc w:val="left"/>
              <w:rPr>
                <w:rFonts w:ascii="宋体" w:hAnsi="宋体" w:eastAsia="宋体" w:cs="宋体"/>
                <w:szCs w:val="21"/>
              </w:rPr>
            </w:pPr>
            <w:r>
              <w:rPr>
                <w:rFonts w:hint="eastAsia" w:ascii="宋体" w:hAnsi="宋体" w:eastAsia="宋体" w:cs="宋体"/>
                <w:szCs w:val="21"/>
              </w:rPr>
              <w:t>具备位移、速度和加速度等三参量控制方式。</w:t>
            </w:r>
          </w:p>
          <w:p w14:paraId="40FE53D1">
            <w:pPr>
              <w:jc w:val="left"/>
              <w:rPr>
                <w:rFonts w:ascii="宋体" w:hAnsi="宋体" w:eastAsia="宋体" w:cs="宋体"/>
                <w:szCs w:val="21"/>
              </w:rPr>
            </w:pPr>
            <w:r>
              <w:rPr>
                <w:rFonts w:hint="eastAsia" w:ascii="宋体" w:hAnsi="宋体" w:eastAsia="宋体" w:cs="宋体"/>
                <w:szCs w:val="21"/>
              </w:rPr>
              <w:t>具备自动调谐功能。</w:t>
            </w:r>
          </w:p>
          <w:p w14:paraId="77E240EE">
            <w:pPr>
              <w:jc w:val="left"/>
              <w:rPr>
                <w:rFonts w:ascii="宋体" w:hAnsi="宋体" w:eastAsia="宋体" w:cs="宋体"/>
                <w:szCs w:val="21"/>
              </w:rPr>
            </w:pPr>
            <w:r>
              <w:rPr>
                <w:rFonts w:hint="eastAsia" w:ascii="宋体" w:hAnsi="宋体" w:eastAsia="宋体" w:cs="宋体"/>
                <w:szCs w:val="21"/>
              </w:rPr>
              <w:t>具有非迭代的基于非线性和实时变化的试样动态实时补偿模块。</w:t>
            </w:r>
          </w:p>
        </w:tc>
        <w:tc>
          <w:tcPr>
            <w:tcW w:w="409" w:type="pct"/>
            <w:shd w:val="clear" w:color="auto" w:fill="auto"/>
            <w:vAlign w:val="center"/>
          </w:tcPr>
          <w:p w14:paraId="3DE1D9A8">
            <w:pPr>
              <w:jc w:val="center"/>
              <w:rPr>
                <w:rFonts w:ascii="宋体" w:hAnsi="宋体" w:eastAsia="宋体" w:cs="宋体"/>
                <w:szCs w:val="21"/>
              </w:rPr>
            </w:pPr>
            <w:r>
              <w:rPr>
                <w:rFonts w:hint="eastAsia" w:ascii="宋体" w:hAnsi="宋体" w:eastAsia="宋体" w:cs="宋体"/>
                <w:szCs w:val="21"/>
              </w:rPr>
              <w:t>1套</w:t>
            </w:r>
          </w:p>
        </w:tc>
      </w:tr>
      <w:tr w14:paraId="3CA8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54DB692B">
            <w:pPr>
              <w:jc w:val="center"/>
              <w:rPr>
                <w:rFonts w:ascii="宋体" w:hAnsi="宋体" w:eastAsia="宋体" w:cs="宋体"/>
                <w:color w:val="000000"/>
                <w:szCs w:val="21"/>
              </w:rPr>
            </w:pPr>
            <w:r>
              <w:rPr>
                <w:rFonts w:hint="eastAsia" w:ascii="宋体" w:hAnsi="宋体" w:eastAsia="宋体" w:cs="宋体"/>
                <w:color w:val="000000"/>
                <w:szCs w:val="21"/>
              </w:rPr>
              <w:t>6</w:t>
            </w:r>
          </w:p>
        </w:tc>
        <w:tc>
          <w:tcPr>
            <w:tcW w:w="956" w:type="pct"/>
            <w:shd w:val="clear" w:color="auto" w:fill="auto"/>
            <w:vAlign w:val="center"/>
          </w:tcPr>
          <w:p w14:paraId="005E82E6">
            <w:pPr>
              <w:jc w:val="center"/>
              <w:rPr>
                <w:rFonts w:ascii="宋体" w:hAnsi="宋体" w:eastAsia="宋体" w:cs="宋体"/>
                <w:color w:val="000000"/>
                <w:szCs w:val="21"/>
              </w:rPr>
            </w:pPr>
            <w:r>
              <w:rPr>
                <w:rFonts w:hint="eastAsia" w:ascii="宋体" w:hAnsi="宋体" w:eastAsia="宋体" w:cs="宋体"/>
                <w:color w:val="000000"/>
                <w:szCs w:val="21"/>
              </w:rPr>
              <w:t>蓄能器及支撑</w:t>
            </w:r>
          </w:p>
          <w:p w14:paraId="44D050BA">
            <w:pPr>
              <w:jc w:val="center"/>
              <w:rPr>
                <w:rFonts w:ascii="宋体" w:hAnsi="宋体" w:eastAsia="宋体" w:cs="宋体"/>
                <w:color w:val="000000"/>
                <w:szCs w:val="21"/>
              </w:rPr>
            </w:pPr>
          </w:p>
        </w:tc>
        <w:tc>
          <w:tcPr>
            <w:tcW w:w="3235" w:type="pct"/>
            <w:shd w:val="clear" w:color="auto" w:fill="auto"/>
            <w:vAlign w:val="center"/>
          </w:tcPr>
          <w:p w14:paraId="06B5B8A1">
            <w:pPr>
              <w:jc w:val="left"/>
              <w:rPr>
                <w:rFonts w:ascii="宋体" w:hAnsi="宋体" w:eastAsia="宋体" w:cs="宋体"/>
                <w:szCs w:val="21"/>
              </w:rPr>
            </w:pPr>
            <w:r>
              <w:rPr>
                <w:rFonts w:hint="eastAsia" w:ascii="宋体" w:hAnsi="宋体" w:eastAsia="宋体" w:cs="宋体"/>
                <w:szCs w:val="21"/>
              </w:rPr>
              <w:t>蓄能器组，规格≥2300L。</w:t>
            </w:r>
          </w:p>
          <w:p w14:paraId="0478BE2D">
            <w:pPr>
              <w:jc w:val="left"/>
              <w:rPr>
                <w:rFonts w:ascii="宋体" w:hAnsi="宋体" w:eastAsia="宋体" w:cs="宋体"/>
                <w:szCs w:val="21"/>
              </w:rPr>
            </w:pPr>
            <w:r>
              <w:rPr>
                <w:rFonts w:hint="eastAsia" w:ascii="宋体" w:hAnsi="宋体" w:eastAsia="宋体" w:cs="宋体"/>
                <w:szCs w:val="21"/>
              </w:rPr>
              <w:t>提供台面支撑系统，与台面规格匹配。</w:t>
            </w:r>
          </w:p>
        </w:tc>
        <w:tc>
          <w:tcPr>
            <w:tcW w:w="409" w:type="pct"/>
            <w:shd w:val="clear" w:color="auto" w:fill="auto"/>
            <w:vAlign w:val="center"/>
          </w:tcPr>
          <w:p w14:paraId="272474FA">
            <w:pPr>
              <w:jc w:val="center"/>
              <w:rPr>
                <w:rFonts w:ascii="宋体" w:hAnsi="宋体" w:eastAsia="宋体" w:cs="宋体"/>
                <w:szCs w:val="21"/>
              </w:rPr>
            </w:pPr>
            <w:r>
              <w:rPr>
                <w:rFonts w:hint="eastAsia" w:ascii="宋体" w:hAnsi="宋体" w:eastAsia="宋体" w:cs="宋体"/>
                <w:szCs w:val="21"/>
              </w:rPr>
              <w:t>1套</w:t>
            </w:r>
          </w:p>
        </w:tc>
      </w:tr>
      <w:tr w14:paraId="30FE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24E6B0B3">
            <w:pPr>
              <w:jc w:val="center"/>
              <w:rPr>
                <w:rFonts w:ascii="宋体" w:hAnsi="宋体" w:eastAsia="宋体" w:cs="宋体"/>
                <w:color w:val="000000"/>
                <w:szCs w:val="21"/>
              </w:rPr>
            </w:pPr>
            <w:r>
              <w:rPr>
                <w:rFonts w:hint="eastAsia" w:ascii="宋体" w:hAnsi="宋体" w:eastAsia="宋体" w:cs="宋体"/>
                <w:color w:val="000000"/>
                <w:szCs w:val="21"/>
              </w:rPr>
              <w:t>7</w:t>
            </w:r>
          </w:p>
        </w:tc>
        <w:tc>
          <w:tcPr>
            <w:tcW w:w="956" w:type="pct"/>
            <w:shd w:val="clear" w:color="auto" w:fill="auto"/>
            <w:vAlign w:val="center"/>
          </w:tcPr>
          <w:p w14:paraId="41158304">
            <w:pPr>
              <w:jc w:val="center"/>
              <w:rPr>
                <w:rFonts w:ascii="宋体" w:hAnsi="宋体" w:eastAsia="宋体" w:cs="宋体"/>
                <w:color w:val="000000"/>
                <w:szCs w:val="21"/>
              </w:rPr>
            </w:pPr>
            <w:r>
              <w:rPr>
                <w:rFonts w:hint="eastAsia" w:ascii="宋体" w:hAnsi="宋体" w:eastAsia="宋体" w:cs="宋体"/>
                <w:color w:val="000000"/>
                <w:szCs w:val="21"/>
              </w:rPr>
              <w:t>强度测试装置</w:t>
            </w:r>
          </w:p>
          <w:p w14:paraId="71500EEF">
            <w:pPr>
              <w:jc w:val="center"/>
              <w:rPr>
                <w:rFonts w:ascii="宋体" w:hAnsi="宋体" w:eastAsia="宋体" w:cs="宋体"/>
                <w:color w:val="000000"/>
                <w:szCs w:val="21"/>
              </w:rPr>
            </w:pPr>
          </w:p>
          <w:p w14:paraId="2759E8E7">
            <w:pPr>
              <w:jc w:val="center"/>
              <w:rPr>
                <w:rFonts w:ascii="宋体" w:hAnsi="宋体" w:eastAsia="宋体" w:cs="宋体"/>
                <w:color w:val="000000"/>
                <w:szCs w:val="21"/>
              </w:rPr>
            </w:pPr>
          </w:p>
        </w:tc>
        <w:tc>
          <w:tcPr>
            <w:tcW w:w="3235" w:type="pct"/>
            <w:shd w:val="clear" w:color="auto" w:fill="auto"/>
            <w:vAlign w:val="center"/>
          </w:tcPr>
          <w:p w14:paraId="3F48A5FB">
            <w:pPr>
              <w:jc w:val="left"/>
              <w:rPr>
                <w:rFonts w:ascii="宋体" w:hAnsi="宋体" w:eastAsia="宋体" w:cs="宋体"/>
                <w:szCs w:val="21"/>
              </w:rPr>
            </w:pPr>
            <w:r>
              <w:rPr>
                <w:rFonts w:hint="eastAsia" w:ascii="宋体" w:hAnsi="宋体" w:eastAsia="宋体" w:cs="宋体"/>
                <w:szCs w:val="21"/>
              </w:rPr>
              <w:t>主机额定承载力10000kN，允许过载量5%。</w:t>
            </w:r>
          </w:p>
          <w:p w14:paraId="611473A3">
            <w:pPr>
              <w:jc w:val="left"/>
              <w:rPr>
                <w:rFonts w:ascii="宋体" w:hAnsi="宋体" w:eastAsia="宋体" w:cs="宋体"/>
                <w:szCs w:val="21"/>
              </w:rPr>
            </w:pPr>
            <w:r>
              <w:rPr>
                <w:rFonts w:hint="eastAsia" w:ascii="宋体" w:hAnsi="宋体" w:eastAsia="宋体" w:cs="宋体"/>
                <w:szCs w:val="21"/>
              </w:rPr>
              <w:t>试验机精度等级1级，测量范围1%～100%。</w:t>
            </w:r>
          </w:p>
          <w:p w14:paraId="68A50BCE">
            <w:pPr>
              <w:jc w:val="left"/>
              <w:rPr>
                <w:rFonts w:ascii="宋体" w:hAnsi="宋体" w:eastAsia="宋体" w:cs="宋体"/>
                <w:szCs w:val="21"/>
              </w:rPr>
            </w:pPr>
            <w:r>
              <w:rPr>
                <w:rFonts w:hint="eastAsia" w:ascii="宋体" w:hAnsi="宋体" w:eastAsia="宋体" w:cs="宋体"/>
                <w:szCs w:val="21"/>
              </w:rPr>
              <w:t>丝杠间净距里：1100mm×900mm。</w:t>
            </w:r>
          </w:p>
        </w:tc>
        <w:tc>
          <w:tcPr>
            <w:tcW w:w="409" w:type="pct"/>
            <w:shd w:val="clear" w:color="auto" w:fill="auto"/>
            <w:vAlign w:val="center"/>
          </w:tcPr>
          <w:p w14:paraId="1EC2C4A4">
            <w:pPr>
              <w:jc w:val="center"/>
              <w:rPr>
                <w:rFonts w:ascii="宋体" w:hAnsi="宋体" w:eastAsia="宋体" w:cs="宋体"/>
                <w:szCs w:val="21"/>
              </w:rPr>
            </w:pPr>
            <w:r>
              <w:rPr>
                <w:rFonts w:hint="eastAsia" w:ascii="宋体" w:hAnsi="宋体" w:eastAsia="宋体" w:cs="宋体"/>
                <w:szCs w:val="21"/>
              </w:rPr>
              <w:t>1套</w:t>
            </w:r>
          </w:p>
        </w:tc>
      </w:tr>
      <w:tr w14:paraId="68C9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2EFA0BCB">
            <w:pPr>
              <w:jc w:val="center"/>
              <w:rPr>
                <w:rFonts w:ascii="宋体" w:hAnsi="宋体" w:eastAsia="宋体" w:cs="宋体"/>
                <w:color w:val="000000"/>
                <w:szCs w:val="21"/>
              </w:rPr>
            </w:pPr>
            <w:r>
              <w:rPr>
                <w:rFonts w:hint="eastAsia" w:ascii="宋体" w:hAnsi="宋体" w:eastAsia="宋体" w:cs="宋体"/>
                <w:color w:val="000000"/>
                <w:szCs w:val="21"/>
              </w:rPr>
              <w:t>8</w:t>
            </w:r>
          </w:p>
        </w:tc>
        <w:tc>
          <w:tcPr>
            <w:tcW w:w="956" w:type="pct"/>
            <w:shd w:val="clear" w:color="auto" w:fill="auto"/>
            <w:vAlign w:val="center"/>
          </w:tcPr>
          <w:p w14:paraId="49A32D0F">
            <w:pPr>
              <w:jc w:val="center"/>
              <w:rPr>
                <w:rFonts w:ascii="宋体" w:hAnsi="宋体" w:eastAsia="宋体" w:cs="宋体"/>
                <w:color w:val="000000"/>
                <w:szCs w:val="21"/>
              </w:rPr>
            </w:pPr>
            <w:r>
              <w:rPr>
                <w:rFonts w:hint="eastAsia" w:ascii="宋体" w:hAnsi="宋体" w:eastAsia="宋体" w:cs="宋体"/>
                <w:color w:val="000000"/>
                <w:szCs w:val="21"/>
              </w:rPr>
              <w:t>反力支座及预埋件</w:t>
            </w:r>
          </w:p>
          <w:p w14:paraId="140468C6">
            <w:pPr>
              <w:jc w:val="center"/>
              <w:rPr>
                <w:rFonts w:ascii="宋体" w:hAnsi="宋体" w:eastAsia="宋体" w:cs="宋体"/>
                <w:color w:val="000000"/>
                <w:szCs w:val="21"/>
              </w:rPr>
            </w:pPr>
          </w:p>
          <w:p w14:paraId="083442FC">
            <w:pPr>
              <w:jc w:val="center"/>
              <w:rPr>
                <w:rFonts w:ascii="宋体" w:hAnsi="宋体" w:eastAsia="宋体" w:cs="宋体"/>
                <w:color w:val="000000"/>
                <w:szCs w:val="21"/>
              </w:rPr>
            </w:pPr>
          </w:p>
          <w:p w14:paraId="57FA62DC">
            <w:pPr>
              <w:jc w:val="center"/>
              <w:rPr>
                <w:rFonts w:ascii="宋体" w:hAnsi="宋体" w:eastAsia="宋体" w:cs="宋体"/>
                <w:color w:val="000000"/>
                <w:szCs w:val="21"/>
              </w:rPr>
            </w:pPr>
          </w:p>
          <w:p w14:paraId="3BAF7D4B">
            <w:pPr>
              <w:jc w:val="center"/>
              <w:rPr>
                <w:rFonts w:ascii="宋体" w:hAnsi="宋体" w:eastAsia="宋体" w:cs="宋体"/>
                <w:color w:val="000000"/>
                <w:szCs w:val="21"/>
              </w:rPr>
            </w:pPr>
          </w:p>
          <w:p w14:paraId="56668B40">
            <w:pPr>
              <w:jc w:val="center"/>
              <w:rPr>
                <w:rFonts w:ascii="宋体" w:hAnsi="宋体" w:eastAsia="宋体" w:cs="宋体"/>
                <w:color w:val="000000"/>
                <w:szCs w:val="21"/>
              </w:rPr>
            </w:pPr>
          </w:p>
        </w:tc>
        <w:tc>
          <w:tcPr>
            <w:tcW w:w="3235" w:type="pct"/>
            <w:shd w:val="clear" w:color="auto" w:fill="auto"/>
            <w:vAlign w:val="center"/>
          </w:tcPr>
          <w:p w14:paraId="36F8EA65">
            <w:pPr>
              <w:jc w:val="left"/>
              <w:rPr>
                <w:rFonts w:ascii="宋体" w:hAnsi="宋体" w:eastAsia="宋体" w:cs="宋体"/>
                <w:szCs w:val="21"/>
              </w:rPr>
            </w:pPr>
            <w:r>
              <w:rPr>
                <w:rFonts w:hint="eastAsia" w:ascii="宋体" w:hAnsi="宋体" w:eastAsia="宋体" w:cs="宋体"/>
                <w:szCs w:val="21"/>
              </w:rPr>
              <w:t>（1）提供振动台使用的全套反力支座并安装，及1套不高于3米侧向力加载反力架；</w:t>
            </w:r>
          </w:p>
          <w:p w14:paraId="0644FDDC">
            <w:pPr>
              <w:jc w:val="left"/>
              <w:rPr>
                <w:rFonts w:ascii="宋体" w:hAnsi="宋体" w:eastAsia="宋体" w:cs="宋体"/>
                <w:szCs w:val="21"/>
              </w:rPr>
            </w:pPr>
            <w:r>
              <w:rPr>
                <w:rFonts w:hint="eastAsia" w:ascii="宋体" w:hAnsi="宋体" w:eastAsia="宋体" w:cs="宋体"/>
                <w:szCs w:val="21"/>
              </w:rPr>
              <w:t>（2）提供振动台所需要的预埋件制作并安装安装，预埋件支持未来可拆卸反力架的安装，可结合振动台完成振动台子结构混合仿真试验；</w:t>
            </w:r>
          </w:p>
          <w:p w14:paraId="1FCB9A3F">
            <w:pPr>
              <w:jc w:val="left"/>
              <w:rPr>
                <w:rFonts w:ascii="宋体" w:hAnsi="宋体" w:eastAsia="宋体" w:cs="宋体"/>
                <w:szCs w:val="21"/>
              </w:rPr>
            </w:pPr>
            <w:r>
              <w:rPr>
                <w:rFonts w:hint="eastAsia" w:ascii="宋体" w:hAnsi="宋体" w:eastAsia="宋体" w:cs="宋体"/>
                <w:szCs w:val="21"/>
              </w:rPr>
              <w:t>（3）反力支座性能要求：满足≥50HZ试验频率，以及最大1.5g加速度（满载时）的使用要求。</w:t>
            </w:r>
          </w:p>
        </w:tc>
        <w:tc>
          <w:tcPr>
            <w:tcW w:w="409" w:type="pct"/>
            <w:shd w:val="clear" w:color="auto" w:fill="auto"/>
            <w:vAlign w:val="center"/>
          </w:tcPr>
          <w:p w14:paraId="60E914A3">
            <w:pPr>
              <w:jc w:val="center"/>
              <w:rPr>
                <w:rFonts w:ascii="宋体" w:hAnsi="宋体" w:eastAsia="宋体" w:cs="宋体"/>
                <w:szCs w:val="21"/>
              </w:rPr>
            </w:pPr>
            <w:r>
              <w:rPr>
                <w:rFonts w:hint="eastAsia" w:ascii="宋体" w:hAnsi="宋体" w:eastAsia="宋体" w:cs="宋体"/>
                <w:szCs w:val="21"/>
              </w:rPr>
              <w:t>1套</w:t>
            </w:r>
          </w:p>
        </w:tc>
      </w:tr>
      <w:tr w14:paraId="3035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1A694169">
            <w:pPr>
              <w:jc w:val="center"/>
              <w:rPr>
                <w:rFonts w:ascii="宋体" w:hAnsi="宋体" w:eastAsia="宋体" w:cs="宋体"/>
                <w:color w:val="000000"/>
                <w:szCs w:val="21"/>
              </w:rPr>
            </w:pPr>
            <w:r>
              <w:rPr>
                <w:rFonts w:hint="eastAsia" w:ascii="宋体" w:hAnsi="宋体" w:eastAsia="宋体" w:cs="宋体"/>
                <w:color w:val="000000"/>
                <w:szCs w:val="21"/>
              </w:rPr>
              <w:t>9</w:t>
            </w:r>
          </w:p>
        </w:tc>
        <w:tc>
          <w:tcPr>
            <w:tcW w:w="956" w:type="pct"/>
            <w:shd w:val="clear" w:color="auto" w:fill="auto"/>
            <w:vAlign w:val="center"/>
          </w:tcPr>
          <w:p w14:paraId="52FF1EC1">
            <w:pPr>
              <w:jc w:val="center"/>
              <w:rPr>
                <w:rFonts w:ascii="宋体" w:hAnsi="宋体" w:eastAsia="宋体" w:cs="宋体"/>
                <w:color w:val="000000"/>
                <w:szCs w:val="21"/>
              </w:rPr>
            </w:pPr>
            <w:r>
              <w:rPr>
                <w:rFonts w:hint="eastAsia" w:ascii="宋体" w:hAnsi="宋体" w:eastAsia="宋体" w:cs="宋体"/>
                <w:color w:val="000000"/>
                <w:szCs w:val="21"/>
              </w:rPr>
              <w:t>冷却系统</w:t>
            </w:r>
          </w:p>
        </w:tc>
        <w:tc>
          <w:tcPr>
            <w:tcW w:w="3235" w:type="pct"/>
            <w:shd w:val="clear" w:color="auto" w:fill="auto"/>
            <w:vAlign w:val="center"/>
          </w:tcPr>
          <w:p w14:paraId="204BA224">
            <w:pPr>
              <w:jc w:val="left"/>
              <w:rPr>
                <w:rFonts w:ascii="宋体" w:hAnsi="宋体" w:eastAsia="宋体" w:cs="宋体"/>
                <w:szCs w:val="21"/>
              </w:rPr>
            </w:pPr>
            <w:r>
              <w:rPr>
                <w:rFonts w:hint="eastAsia" w:ascii="宋体" w:hAnsi="宋体" w:eastAsia="宋体" w:cs="宋体"/>
                <w:szCs w:val="21"/>
              </w:rPr>
              <w:t>提供系统配套的冷却系统，保证系统工作时液压油在40-45摄氏度的最佳工作温度。</w:t>
            </w:r>
          </w:p>
        </w:tc>
        <w:tc>
          <w:tcPr>
            <w:tcW w:w="409" w:type="pct"/>
            <w:shd w:val="clear" w:color="auto" w:fill="auto"/>
            <w:vAlign w:val="center"/>
          </w:tcPr>
          <w:p w14:paraId="1097F242">
            <w:pPr>
              <w:jc w:val="center"/>
              <w:rPr>
                <w:rFonts w:ascii="宋体" w:hAnsi="宋体" w:eastAsia="宋体" w:cs="宋体"/>
                <w:szCs w:val="21"/>
              </w:rPr>
            </w:pPr>
            <w:r>
              <w:rPr>
                <w:rFonts w:hint="eastAsia" w:ascii="宋体" w:hAnsi="宋体" w:eastAsia="宋体" w:cs="宋体"/>
                <w:szCs w:val="21"/>
              </w:rPr>
              <w:t>1套</w:t>
            </w:r>
          </w:p>
        </w:tc>
      </w:tr>
      <w:tr w14:paraId="362C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100D2CCE">
            <w:pPr>
              <w:jc w:val="center"/>
              <w:rPr>
                <w:rFonts w:ascii="宋体" w:hAnsi="宋体" w:eastAsia="宋体" w:cs="宋体"/>
                <w:szCs w:val="21"/>
              </w:rPr>
            </w:pPr>
            <w:r>
              <w:rPr>
                <w:rFonts w:hint="eastAsia" w:ascii="宋体" w:hAnsi="宋体" w:eastAsia="宋体" w:cs="宋体"/>
                <w:szCs w:val="21"/>
              </w:rPr>
              <w:t>10</w:t>
            </w:r>
          </w:p>
        </w:tc>
        <w:tc>
          <w:tcPr>
            <w:tcW w:w="956" w:type="pct"/>
            <w:shd w:val="clear" w:color="auto" w:fill="auto"/>
            <w:vAlign w:val="center"/>
          </w:tcPr>
          <w:p w14:paraId="647CA790">
            <w:pPr>
              <w:jc w:val="center"/>
              <w:rPr>
                <w:rFonts w:ascii="宋体" w:hAnsi="宋体" w:eastAsia="宋体" w:cs="宋体"/>
                <w:szCs w:val="21"/>
              </w:rPr>
            </w:pPr>
            <w:r>
              <w:rPr>
                <w:rFonts w:hint="eastAsia" w:ascii="宋体" w:hAnsi="宋体" w:eastAsia="宋体" w:cs="宋体"/>
                <w:szCs w:val="21"/>
              </w:rPr>
              <w:t>配套高分辨率电荷放大器</w:t>
            </w:r>
          </w:p>
        </w:tc>
        <w:tc>
          <w:tcPr>
            <w:tcW w:w="3235" w:type="pct"/>
            <w:shd w:val="clear" w:color="auto" w:fill="auto"/>
            <w:vAlign w:val="center"/>
          </w:tcPr>
          <w:p w14:paraId="1D351927">
            <w:pPr>
              <w:jc w:val="left"/>
              <w:rPr>
                <w:rFonts w:ascii="宋体" w:hAnsi="宋体" w:eastAsia="宋体" w:cs="宋体"/>
                <w:szCs w:val="21"/>
              </w:rPr>
            </w:pPr>
            <w:r>
              <w:rPr>
                <w:rFonts w:hint="eastAsia" w:ascii="宋体" w:hAnsi="宋体" w:eastAsia="宋体" w:cs="宋体"/>
                <w:szCs w:val="21"/>
              </w:rPr>
              <w:t>电荷采集仪可同时采集8个通道的电荷信号。</w:t>
            </w:r>
          </w:p>
          <w:p w14:paraId="1912BED8">
            <w:pPr>
              <w:jc w:val="left"/>
              <w:rPr>
                <w:rFonts w:ascii="宋体" w:hAnsi="宋体" w:eastAsia="宋体" w:cs="宋体"/>
                <w:szCs w:val="21"/>
              </w:rPr>
            </w:pPr>
            <w:r>
              <w:rPr>
                <w:rFonts w:hint="eastAsia" w:ascii="宋体" w:hAnsi="宋体" w:eastAsia="宋体" w:cs="宋体"/>
                <w:szCs w:val="21"/>
              </w:rPr>
              <w:t>电荷采集量程：±1000pC至±10000000pC(量程可在区间内任意可调)。</w:t>
            </w:r>
          </w:p>
          <w:p w14:paraId="7F30177E">
            <w:pPr>
              <w:jc w:val="left"/>
              <w:rPr>
                <w:rFonts w:ascii="宋体" w:hAnsi="宋体" w:eastAsia="宋体" w:cs="宋体"/>
                <w:szCs w:val="21"/>
              </w:rPr>
            </w:pPr>
            <w:r>
              <w:rPr>
                <w:rFonts w:hint="eastAsia" w:ascii="宋体" w:hAnsi="宋体" w:eastAsia="宋体" w:cs="宋体"/>
                <w:szCs w:val="21"/>
              </w:rPr>
              <w:t>电荷测量线性度误差：±0.05%FSO。</w:t>
            </w:r>
          </w:p>
        </w:tc>
        <w:tc>
          <w:tcPr>
            <w:tcW w:w="409" w:type="pct"/>
            <w:shd w:val="clear" w:color="auto" w:fill="auto"/>
            <w:vAlign w:val="center"/>
          </w:tcPr>
          <w:p w14:paraId="7302315C">
            <w:pPr>
              <w:jc w:val="center"/>
              <w:rPr>
                <w:rFonts w:ascii="宋体" w:hAnsi="宋体" w:eastAsia="宋体" w:cs="宋体"/>
                <w:szCs w:val="21"/>
              </w:rPr>
            </w:pPr>
            <w:r>
              <w:rPr>
                <w:rFonts w:hint="eastAsia" w:ascii="宋体" w:hAnsi="宋体" w:eastAsia="宋体" w:cs="宋体"/>
                <w:szCs w:val="21"/>
              </w:rPr>
              <w:t>1套</w:t>
            </w:r>
          </w:p>
        </w:tc>
      </w:tr>
      <w:tr w14:paraId="59A5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657EE22F">
            <w:pPr>
              <w:jc w:val="center"/>
              <w:rPr>
                <w:rFonts w:ascii="宋体" w:hAnsi="宋体" w:eastAsia="宋体" w:cs="宋体"/>
                <w:szCs w:val="21"/>
              </w:rPr>
            </w:pPr>
            <w:r>
              <w:rPr>
                <w:rFonts w:hint="eastAsia" w:ascii="宋体" w:hAnsi="宋体" w:eastAsia="宋体" w:cs="宋体"/>
                <w:szCs w:val="21"/>
              </w:rPr>
              <w:t>11</w:t>
            </w:r>
          </w:p>
        </w:tc>
        <w:tc>
          <w:tcPr>
            <w:tcW w:w="956" w:type="pct"/>
            <w:shd w:val="clear" w:color="auto" w:fill="auto"/>
            <w:vAlign w:val="center"/>
          </w:tcPr>
          <w:p w14:paraId="4FB80CED">
            <w:pPr>
              <w:jc w:val="center"/>
              <w:rPr>
                <w:rFonts w:ascii="宋体" w:hAnsi="宋体" w:eastAsia="宋体" w:cs="宋体"/>
                <w:szCs w:val="21"/>
              </w:rPr>
            </w:pPr>
            <w:r>
              <w:rPr>
                <w:rFonts w:hint="eastAsia" w:ascii="宋体" w:hAnsi="宋体" w:eastAsia="宋体" w:cs="宋体"/>
                <w:szCs w:val="21"/>
              </w:rPr>
              <w:t>配套数据采集系统</w:t>
            </w:r>
          </w:p>
        </w:tc>
        <w:tc>
          <w:tcPr>
            <w:tcW w:w="3235" w:type="pct"/>
            <w:shd w:val="clear" w:color="auto" w:fill="auto"/>
            <w:vAlign w:val="center"/>
          </w:tcPr>
          <w:p w14:paraId="62D4B07E">
            <w:pPr>
              <w:jc w:val="left"/>
              <w:rPr>
                <w:rFonts w:ascii="宋体" w:hAnsi="宋体" w:eastAsia="宋体" w:cs="宋体"/>
                <w:szCs w:val="21"/>
              </w:rPr>
            </w:pPr>
            <w:r>
              <w:rPr>
                <w:rFonts w:hint="eastAsia" w:ascii="宋体" w:hAnsi="宋体" w:eastAsia="宋体" w:cs="宋体"/>
                <w:szCs w:val="21"/>
              </w:rPr>
              <w:t>数据采集系统通道数：≥128通道。</w:t>
            </w:r>
          </w:p>
          <w:p w14:paraId="1483CE28">
            <w:pPr>
              <w:jc w:val="left"/>
              <w:rPr>
                <w:rFonts w:ascii="宋体" w:hAnsi="宋体" w:eastAsia="宋体" w:cs="宋体"/>
                <w:szCs w:val="21"/>
              </w:rPr>
            </w:pPr>
            <w:r>
              <w:rPr>
                <w:rFonts w:hint="eastAsia" w:ascii="宋体" w:hAnsi="宋体" w:eastAsia="宋体" w:cs="宋体"/>
                <w:szCs w:val="21"/>
              </w:rPr>
              <w:t>数据采集频率：≥6KHZ。</w:t>
            </w:r>
          </w:p>
          <w:p w14:paraId="1F889C17">
            <w:pPr>
              <w:jc w:val="left"/>
              <w:rPr>
                <w:rFonts w:ascii="宋体" w:hAnsi="宋体" w:eastAsia="宋体" w:cs="宋体"/>
                <w:szCs w:val="21"/>
              </w:rPr>
            </w:pPr>
            <w:r>
              <w:rPr>
                <w:rFonts w:hint="eastAsia" w:ascii="宋体" w:hAnsi="宋体" w:eastAsia="宋体" w:cs="宋体"/>
                <w:szCs w:val="21"/>
              </w:rPr>
              <w:t>具备24位A/D转换。</w:t>
            </w:r>
          </w:p>
        </w:tc>
        <w:tc>
          <w:tcPr>
            <w:tcW w:w="409" w:type="pct"/>
            <w:shd w:val="clear" w:color="auto" w:fill="auto"/>
            <w:vAlign w:val="center"/>
          </w:tcPr>
          <w:p w14:paraId="56D8E3BD">
            <w:pPr>
              <w:jc w:val="center"/>
              <w:rPr>
                <w:rFonts w:ascii="宋体" w:hAnsi="宋体" w:eastAsia="宋体" w:cs="宋体"/>
                <w:szCs w:val="21"/>
              </w:rPr>
            </w:pPr>
            <w:r>
              <w:rPr>
                <w:rFonts w:hint="eastAsia" w:ascii="宋体" w:hAnsi="宋体" w:eastAsia="宋体" w:cs="宋体"/>
                <w:szCs w:val="21"/>
              </w:rPr>
              <w:t>1套</w:t>
            </w:r>
          </w:p>
        </w:tc>
      </w:tr>
      <w:tr w14:paraId="3C39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shd w:val="clear" w:color="auto" w:fill="auto"/>
            <w:vAlign w:val="center"/>
          </w:tcPr>
          <w:p w14:paraId="43A369FB">
            <w:pPr>
              <w:jc w:val="center"/>
              <w:rPr>
                <w:rFonts w:ascii="宋体" w:hAnsi="宋体" w:eastAsia="宋体" w:cs="宋体"/>
                <w:szCs w:val="21"/>
              </w:rPr>
            </w:pPr>
            <w:r>
              <w:rPr>
                <w:rFonts w:hint="eastAsia" w:ascii="宋体" w:hAnsi="宋体" w:eastAsia="宋体" w:cs="宋体"/>
                <w:szCs w:val="21"/>
              </w:rPr>
              <w:t>12</w:t>
            </w:r>
          </w:p>
        </w:tc>
        <w:tc>
          <w:tcPr>
            <w:tcW w:w="956" w:type="pct"/>
            <w:shd w:val="clear" w:color="auto" w:fill="auto"/>
            <w:vAlign w:val="center"/>
          </w:tcPr>
          <w:p w14:paraId="6F259D38">
            <w:pPr>
              <w:jc w:val="center"/>
              <w:rPr>
                <w:rFonts w:ascii="宋体" w:hAnsi="宋体" w:eastAsia="宋体" w:cs="宋体"/>
                <w:color w:val="000000"/>
                <w:szCs w:val="21"/>
              </w:rPr>
            </w:pPr>
            <w:r>
              <w:rPr>
                <w:rFonts w:hint="eastAsia" w:ascii="宋体" w:hAnsi="宋体" w:eastAsia="宋体" w:cs="宋体"/>
                <w:szCs w:val="21"/>
              </w:rPr>
              <w:t>备品备件及工具</w:t>
            </w:r>
          </w:p>
        </w:tc>
        <w:tc>
          <w:tcPr>
            <w:tcW w:w="3235" w:type="pct"/>
            <w:shd w:val="clear" w:color="auto" w:fill="auto"/>
            <w:vAlign w:val="center"/>
          </w:tcPr>
          <w:p w14:paraId="110D61C9">
            <w:pPr>
              <w:jc w:val="left"/>
              <w:rPr>
                <w:rFonts w:ascii="宋体" w:hAnsi="宋体" w:eastAsia="宋体" w:cs="宋体"/>
                <w:szCs w:val="21"/>
              </w:rPr>
            </w:pPr>
            <w:r>
              <w:rPr>
                <w:rFonts w:hint="eastAsia" w:ascii="宋体" w:hAnsi="宋体" w:eastAsia="宋体" w:cs="宋体"/>
                <w:szCs w:val="21"/>
              </w:rPr>
              <w:t>作动器密封元件  4套</w:t>
            </w:r>
          </w:p>
          <w:p w14:paraId="496D19FC">
            <w:pPr>
              <w:jc w:val="left"/>
              <w:rPr>
                <w:rFonts w:ascii="宋体" w:hAnsi="宋体" w:eastAsia="宋体" w:cs="宋体"/>
                <w:szCs w:val="21"/>
              </w:rPr>
            </w:pPr>
            <w:r>
              <w:rPr>
                <w:rFonts w:hint="eastAsia" w:ascii="宋体" w:hAnsi="宋体" w:eastAsia="宋体" w:cs="宋体"/>
                <w:szCs w:val="21"/>
              </w:rPr>
              <w:t>保险丝 1套</w:t>
            </w:r>
          </w:p>
          <w:p w14:paraId="798ABAB3">
            <w:pPr>
              <w:jc w:val="left"/>
              <w:rPr>
                <w:rFonts w:ascii="宋体" w:hAnsi="宋体" w:eastAsia="宋体" w:cs="宋体"/>
                <w:szCs w:val="21"/>
              </w:rPr>
            </w:pPr>
            <w:r>
              <w:rPr>
                <w:rFonts w:hint="eastAsia" w:ascii="宋体" w:hAnsi="宋体" w:eastAsia="宋体" w:cs="宋体"/>
                <w:szCs w:val="21"/>
              </w:rPr>
              <w:t>液压系统滤芯 2套</w:t>
            </w:r>
          </w:p>
          <w:p w14:paraId="5A296348">
            <w:pPr>
              <w:jc w:val="left"/>
              <w:rPr>
                <w:rFonts w:ascii="宋体" w:hAnsi="宋体" w:eastAsia="宋体" w:cs="宋体"/>
                <w:szCs w:val="21"/>
              </w:rPr>
            </w:pPr>
            <w:r>
              <w:rPr>
                <w:rFonts w:hint="eastAsia" w:ascii="宋体" w:hAnsi="宋体" w:eastAsia="宋体" w:cs="宋体"/>
                <w:szCs w:val="21"/>
              </w:rPr>
              <w:t>加速度计 1套</w:t>
            </w:r>
          </w:p>
          <w:p w14:paraId="00D29D8C">
            <w:pPr>
              <w:jc w:val="left"/>
              <w:rPr>
                <w:rFonts w:ascii="宋体" w:hAnsi="宋体" w:eastAsia="宋体" w:cs="宋体"/>
                <w:szCs w:val="21"/>
              </w:rPr>
            </w:pPr>
            <w:r>
              <w:rPr>
                <w:rFonts w:hint="eastAsia" w:ascii="宋体" w:hAnsi="宋体" w:eastAsia="宋体" w:cs="宋体"/>
                <w:szCs w:val="21"/>
              </w:rPr>
              <w:t>系统安装调试及检修工具 1套。</w:t>
            </w:r>
          </w:p>
        </w:tc>
        <w:tc>
          <w:tcPr>
            <w:tcW w:w="409" w:type="pct"/>
            <w:shd w:val="clear" w:color="auto" w:fill="auto"/>
            <w:vAlign w:val="center"/>
          </w:tcPr>
          <w:p w14:paraId="2AF2B5EA">
            <w:pPr>
              <w:jc w:val="center"/>
              <w:rPr>
                <w:rFonts w:ascii="宋体" w:hAnsi="宋体" w:eastAsia="宋体" w:cs="宋体"/>
                <w:szCs w:val="21"/>
              </w:rPr>
            </w:pPr>
            <w:r>
              <w:rPr>
                <w:rFonts w:hint="eastAsia" w:ascii="宋体" w:hAnsi="宋体" w:eastAsia="宋体" w:cs="宋体"/>
                <w:szCs w:val="21"/>
              </w:rPr>
              <w:t>1项</w:t>
            </w:r>
          </w:p>
        </w:tc>
      </w:tr>
    </w:tbl>
    <w:p w14:paraId="2C7D57B5">
      <w:pPr>
        <w:adjustRightInd w:val="0"/>
        <w:snapToGrid w:val="0"/>
        <w:spacing w:line="360" w:lineRule="auto"/>
        <w:ind w:firstLine="422" w:firstLineChars="200"/>
        <w:outlineLvl w:val="0"/>
        <w:rPr>
          <w:rFonts w:hint="eastAsia" w:ascii="宋体" w:hAnsi="宋体" w:eastAsia="宋体" w:cs="宋体"/>
          <w:b/>
          <w:kern w:val="0"/>
          <w:szCs w:val="21"/>
        </w:rPr>
      </w:pPr>
    </w:p>
    <w:p w14:paraId="07B12CFB">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1、4m×4m三向六自由度地震模拟振动台试验系统台面</w:t>
      </w:r>
    </w:p>
    <w:p w14:paraId="3317488A">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）中标人需要提供台面设计图及设计计算书、焊接制作技术方案、运输技术方案和安装调试方案等供最终用户组织技术评审。台面上</w:t>
      </w:r>
      <w:r>
        <w:rPr>
          <w:rFonts w:ascii="宋体" w:hAnsi="宋体" w:eastAsia="宋体" w:cs="宋体"/>
          <w:kern w:val="0"/>
          <w:szCs w:val="21"/>
        </w:rPr>
        <w:t>表面应具有硬度</w:t>
      </w:r>
      <w:r>
        <w:rPr>
          <w:rFonts w:hint="eastAsia" w:ascii="宋体" w:hAnsi="宋体" w:eastAsia="宋体" w:cs="宋体"/>
          <w:kern w:val="0"/>
          <w:szCs w:val="21"/>
        </w:rPr>
        <w:t>高</w:t>
      </w:r>
      <w:r>
        <w:rPr>
          <w:rFonts w:ascii="宋体" w:hAnsi="宋体" w:eastAsia="宋体" w:cs="宋体"/>
          <w:kern w:val="0"/>
          <w:szCs w:val="21"/>
        </w:rPr>
        <w:t>、</w:t>
      </w:r>
      <w:r>
        <w:rPr>
          <w:rFonts w:hint="eastAsia" w:ascii="宋体" w:hAnsi="宋体" w:eastAsia="宋体" w:cs="宋体"/>
          <w:kern w:val="0"/>
          <w:szCs w:val="21"/>
        </w:rPr>
        <w:t>耐磨</w:t>
      </w:r>
      <w:r>
        <w:rPr>
          <w:rFonts w:ascii="宋体" w:hAnsi="宋体" w:eastAsia="宋体" w:cs="宋体"/>
          <w:kern w:val="0"/>
          <w:szCs w:val="21"/>
        </w:rPr>
        <w:t>、耐腐蚀</w:t>
      </w:r>
      <w:r>
        <w:rPr>
          <w:rFonts w:hint="eastAsia" w:ascii="宋体" w:hAnsi="宋体" w:eastAsia="宋体" w:cs="宋体"/>
          <w:kern w:val="0"/>
          <w:szCs w:val="21"/>
        </w:rPr>
        <w:t>等</w:t>
      </w:r>
      <w:r>
        <w:rPr>
          <w:rFonts w:ascii="宋体" w:hAnsi="宋体" w:eastAsia="宋体" w:cs="宋体"/>
          <w:kern w:val="0"/>
          <w:szCs w:val="21"/>
        </w:rPr>
        <w:t>特点，</w:t>
      </w:r>
      <w:r>
        <w:rPr>
          <w:rFonts w:hint="eastAsia" w:ascii="宋体" w:hAnsi="宋体" w:eastAsia="宋体" w:cs="宋体"/>
          <w:kern w:val="0"/>
          <w:szCs w:val="21"/>
        </w:rPr>
        <w:t>投</w:t>
      </w:r>
      <w:r>
        <w:rPr>
          <w:rFonts w:ascii="宋体" w:hAnsi="宋体" w:eastAsia="宋体" w:cs="宋体"/>
          <w:kern w:val="0"/>
          <w:szCs w:val="21"/>
        </w:rPr>
        <w:t>标</w:t>
      </w:r>
      <w:r>
        <w:rPr>
          <w:rFonts w:hint="eastAsia" w:ascii="宋体" w:hAnsi="宋体" w:eastAsia="宋体" w:cs="宋体"/>
          <w:kern w:val="0"/>
          <w:szCs w:val="21"/>
        </w:rPr>
        <w:t>时</w:t>
      </w:r>
      <w:r>
        <w:rPr>
          <w:rFonts w:ascii="宋体" w:hAnsi="宋体" w:eastAsia="宋体" w:cs="宋体"/>
          <w:kern w:val="0"/>
          <w:szCs w:val="21"/>
        </w:rPr>
        <w:t>应</w:t>
      </w:r>
      <w:r>
        <w:rPr>
          <w:rFonts w:hint="eastAsia" w:ascii="宋体" w:hAnsi="宋体" w:eastAsia="宋体" w:cs="宋体"/>
          <w:kern w:val="0"/>
          <w:szCs w:val="21"/>
        </w:rPr>
        <w:t>提供</w:t>
      </w:r>
      <w:r>
        <w:rPr>
          <w:rFonts w:ascii="宋体" w:hAnsi="宋体" w:eastAsia="宋体" w:cs="宋体"/>
          <w:kern w:val="0"/>
          <w:szCs w:val="21"/>
        </w:rPr>
        <w:t>具体的设计说明。</w:t>
      </w:r>
      <w:r>
        <w:rPr>
          <w:rFonts w:hint="eastAsia" w:ascii="宋体" w:hAnsi="宋体" w:eastAsia="宋体" w:cs="宋体"/>
          <w:kern w:val="0"/>
          <w:szCs w:val="21"/>
        </w:rPr>
        <w:t>台面应分别配有至少</w:t>
      </w:r>
      <w:r>
        <w:rPr>
          <w:rFonts w:ascii="宋体" w:hAnsi="宋体" w:eastAsia="宋体" w:cs="宋体"/>
          <w:kern w:val="0"/>
          <w:szCs w:val="21"/>
        </w:rPr>
        <w:t>11个加速度传感器，且满足系统监测要求。</w:t>
      </w:r>
    </w:p>
    <w:p w14:paraId="1F46A82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台面上表面应预留螺栓孔，其孔径（≥</w:t>
      </w:r>
      <w:r>
        <w:rPr>
          <w:rFonts w:ascii="宋体" w:hAnsi="宋体" w:eastAsia="宋体" w:cs="宋体"/>
          <w:kern w:val="0"/>
          <w:szCs w:val="21"/>
        </w:rPr>
        <w:t>M27×3.5mm</w:t>
      </w:r>
      <w:r>
        <w:rPr>
          <w:rFonts w:hint="eastAsia" w:ascii="宋体" w:hAnsi="宋体" w:eastAsia="宋体" w:cs="宋体"/>
          <w:kern w:val="0"/>
          <w:szCs w:val="21"/>
        </w:rPr>
        <w:t>）和间距（≤</w:t>
      </w:r>
      <w:r>
        <w:rPr>
          <w:rFonts w:ascii="宋体" w:hAnsi="宋体" w:eastAsia="宋体" w:cs="宋体"/>
          <w:kern w:val="0"/>
          <w:szCs w:val="21"/>
        </w:rPr>
        <w:t>500mm</w:t>
      </w:r>
      <w:r>
        <w:rPr>
          <w:rFonts w:hint="eastAsia" w:ascii="宋体" w:hAnsi="宋体" w:eastAsia="宋体" w:cs="宋体"/>
          <w:kern w:val="0"/>
          <w:szCs w:val="21"/>
        </w:rPr>
        <w:t>）由中标人设计并核实确认。台面平整度优于±</w:t>
      </w:r>
      <w:r>
        <w:rPr>
          <w:rFonts w:ascii="宋体" w:hAnsi="宋体" w:eastAsia="宋体" w:cs="宋体"/>
          <w:kern w:val="0"/>
          <w:szCs w:val="21"/>
        </w:rPr>
        <w:t>0.5mm/m；台面孔位、孔径误差不超过0.2mm</w:t>
      </w:r>
      <w:r>
        <w:rPr>
          <w:rFonts w:hint="eastAsia" w:ascii="宋体" w:hAnsi="宋体" w:eastAsia="宋体" w:cs="宋体"/>
          <w:kern w:val="0"/>
          <w:szCs w:val="21"/>
        </w:rPr>
        <w:t>；台面外形尺寸误差不超过</w:t>
      </w:r>
      <w:r>
        <w:rPr>
          <w:rFonts w:ascii="宋体" w:hAnsi="宋体" w:eastAsia="宋体" w:cs="宋体"/>
          <w:kern w:val="0"/>
          <w:szCs w:val="21"/>
        </w:rPr>
        <w:t>2mm</w:t>
      </w:r>
      <w:r>
        <w:rPr>
          <w:rFonts w:hint="eastAsia" w:ascii="宋体" w:hAnsi="宋体" w:eastAsia="宋体" w:cs="宋体"/>
          <w:kern w:val="0"/>
          <w:szCs w:val="21"/>
        </w:rPr>
        <w:t>。台面应采用≤</w:t>
      </w:r>
      <w:r>
        <w:rPr>
          <w:rFonts w:ascii="宋体" w:hAnsi="宋体" w:eastAsia="宋体" w:cs="宋体"/>
          <w:kern w:val="0"/>
          <w:szCs w:val="21"/>
        </w:rPr>
        <w:t xml:space="preserve">65 </w:t>
      </w:r>
      <w:r>
        <w:rPr>
          <w:rFonts w:hint="eastAsia" w:ascii="宋体" w:hAnsi="宋体" w:eastAsia="宋体" w:cs="宋体"/>
          <w:kern w:val="0"/>
          <w:szCs w:val="21"/>
        </w:rPr>
        <w:t>厘米方形单元格的蜂窝式钢结构设计，且应保证为台面具有质轻，高刚度，高固有频率特点。整个外表面用护板覆盖以提供高抗弯曲和扭转刚性。台面与基础之间应设置防护装置，以防重物掉落并提供人行通道。</w:t>
      </w:r>
    </w:p>
    <w:p w14:paraId="74AEC293">
      <w:pPr>
        <w:adjustRightInd w:val="0"/>
        <w:snapToGrid w:val="0"/>
        <w:spacing w:line="360" w:lineRule="auto"/>
        <w:ind w:firstLine="422" w:firstLineChars="200"/>
        <w:outlineLvl w:val="0"/>
        <w:rPr>
          <w:rFonts w:ascii="宋体" w:hAnsi="宋体" w:eastAsia="宋体" w:cs="宋体"/>
          <w:b/>
          <w:kern w:val="0"/>
          <w:szCs w:val="21"/>
        </w:rPr>
      </w:pPr>
    </w:p>
    <w:p w14:paraId="6F6B87BF">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2、4m×4m三向六自由度地震模拟振动台试验系统水平电液伺服作动器总成 4套</w:t>
      </w:r>
    </w:p>
    <w:p w14:paraId="0B439E74">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m×4m三向六自由度地震模拟振动台试验系统全配备疲劳级动态作动器，每套作动器总成应包括三级伺服阀、传感器、球铰、液压缓冲垫等基本附件。作动器的工作行程、静态和动态能力、伺服阀、传感器、连接、支承等应能够完全满足多功能地震模拟振动台试验系统各项性能指标要求。动态行程</w:t>
      </w:r>
      <w:r>
        <w:rPr>
          <w:rFonts w:hint="eastAsia" w:ascii="宋体" w:hAnsi="宋体" w:eastAsia="宋体" w:cs="宋体"/>
          <w:szCs w:val="21"/>
        </w:rPr>
        <w:t>≥</w:t>
      </w:r>
      <w:r>
        <w:rPr>
          <w:rFonts w:hint="eastAsia" w:ascii="宋体" w:hAnsi="宋体" w:eastAsia="宋体" w:cs="宋体"/>
          <w:kern w:val="0"/>
          <w:szCs w:val="21"/>
        </w:rPr>
        <w:t>±300mm。</w:t>
      </w:r>
    </w:p>
    <w:p w14:paraId="3C22898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所有作动器各部件的设计应按疲劳强度无限寿命设计，所有轴承材料应在整个使用期内免维护。作动器应有足够强的抵抗侧向力的能力（横向自振频率要尽可能高），作动器内部摩擦力应接近于零。作动器缸筒内应设有防撞击的合适长度的缓冲垫，以防在失控状态下损坏作动器。外观简洁、精致、不应出现明显的瑕疵。</w:t>
      </w:r>
    </w:p>
    <w:p w14:paraId="1403D605">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作动器作为振动台系统中重要的组成部分，应采用集成的成熟配套产品（作动缸、伺服阀、球铰等均应为同一制造商制作）。投标文件中需注明作动缸、伺服阀和球铰的具体型号、规格及制造商全称，并提供</w:t>
      </w:r>
      <w:bookmarkStart w:id="5" w:name="OLE_LINK2"/>
      <w:bookmarkStart w:id="6" w:name="OLE_LINK3"/>
      <w:r>
        <w:rPr>
          <w:rFonts w:hint="eastAsia" w:ascii="宋体" w:hAnsi="宋体" w:eastAsia="宋体" w:cs="宋体"/>
          <w:szCs w:val="21"/>
        </w:rPr>
        <w:t>公开发布的产品资料并加盖投标人公章</w:t>
      </w:r>
      <w:bookmarkEnd w:id="5"/>
      <w:bookmarkEnd w:id="6"/>
      <w:r>
        <w:rPr>
          <w:rFonts w:hint="eastAsia" w:ascii="宋体" w:hAnsi="宋体" w:eastAsia="宋体" w:cs="宋体"/>
          <w:szCs w:val="21"/>
        </w:rPr>
        <w:t>。</w:t>
      </w:r>
    </w:p>
    <w:p w14:paraId="7236319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（4）作动器配置的</w:t>
      </w:r>
      <w:r>
        <w:rPr>
          <w:rFonts w:hint="eastAsia" w:ascii="宋体" w:hAnsi="宋体" w:eastAsia="宋体" w:cs="宋体"/>
          <w:szCs w:val="21"/>
        </w:rPr>
        <w:t>伺服阀流量≥600LPM，固有频率≥80HZ，使用温度范围优于：-50摄氏度-120摄氏度，导孔级过滤3 微米，并提供公开发布的产品资料并加盖投标人公章。</w:t>
      </w:r>
    </w:p>
    <w:p w14:paraId="24195B6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为满足实验室现有空间，作动器需采用</w:t>
      </w:r>
      <w:r>
        <w:rPr>
          <w:rFonts w:ascii="宋体" w:hAnsi="宋体" w:eastAsia="宋体" w:cs="宋体"/>
          <w:szCs w:val="21"/>
        </w:rPr>
        <w:t>V型布局方式。投标时需</w:t>
      </w:r>
      <w:r>
        <w:rPr>
          <w:rFonts w:hint="eastAsia" w:ascii="宋体" w:hAnsi="宋体" w:eastAsia="宋体" w:cs="宋体"/>
          <w:szCs w:val="21"/>
        </w:rPr>
        <w:t>提供方案说明并加盖投标人公章。</w:t>
      </w:r>
    </w:p>
    <w:p w14:paraId="7BD44778">
      <w:pPr>
        <w:adjustRightInd w:val="0"/>
        <w:snapToGrid w:val="0"/>
        <w:spacing w:line="360" w:lineRule="auto"/>
        <w:ind w:firstLine="420" w:firstLineChars="200"/>
        <w:rPr>
          <w:rFonts w:ascii="宋体" w:hAnsi="宋体" w:eastAsia="宋体" w:cs="宋体"/>
          <w:szCs w:val="21"/>
        </w:rPr>
      </w:pPr>
    </w:p>
    <w:p w14:paraId="19C6CA9F">
      <w:pPr>
        <w:adjustRightInd w:val="0"/>
        <w:snapToGrid w:val="0"/>
        <w:spacing w:line="360" w:lineRule="auto"/>
        <w:ind w:firstLine="420" w:firstLineChars="200"/>
        <w:rPr>
          <w:rFonts w:ascii="宋体" w:hAnsi="宋体" w:eastAsia="宋体" w:cs="宋体"/>
          <w:kern w:val="0"/>
          <w:szCs w:val="21"/>
        </w:rPr>
      </w:pPr>
    </w:p>
    <w:p w14:paraId="7A57EB55">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3、4m×4m三向六自由度地震模拟振动台试验系统垂向电液伺服作动器总成 4套</w:t>
      </w:r>
    </w:p>
    <w:p w14:paraId="19EC173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m×4m三向六自由度地震模拟振动台试验系统全配备疲劳级动态作动器，每套作动器总成应包括三级伺服阀、传感器、球铰、液压缓冲垫等基本附件。作动器的工作行程、静态和动态能力、伺服阀、传感器、连接、支承等应能够完全满足多功能地震模拟振动台试验系统各项性能指标要求。动态行程</w:t>
      </w:r>
      <w:r>
        <w:rPr>
          <w:rFonts w:hint="eastAsia" w:ascii="宋体" w:hAnsi="宋体" w:eastAsia="宋体" w:cs="宋体"/>
          <w:szCs w:val="21"/>
        </w:rPr>
        <w:t>≥</w:t>
      </w:r>
      <w:r>
        <w:rPr>
          <w:rFonts w:hint="eastAsia" w:ascii="宋体" w:hAnsi="宋体" w:eastAsia="宋体" w:cs="宋体"/>
          <w:kern w:val="0"/>
          <w:szCs w:val="21"/>
        </w:rPr>
        <w:t>±250mm。</w:t>
      </w:r>
    </w:p>
    <w:p w14:paraId="11434BDC">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所有作动器各部件的设计应按疲劳强度无限寿命设计，所有轴承材料应在整个使用期内免维护。作动器应有足够强的抵抗侧向力的能力（横向自振频率要尽可能高），作动器内部摩擦力应接近于零。作动器缸筒内应设有防撞击的合适长度的缓冲垫，以防在失控状态下损坏作动器。外观简洁、精致、不应出现明显的瑕疵。</w:t>
      </w:r>
    </w:p>
    <w:p w14:paraId="5DC1F735">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作动器作为振动台系统中重要的组成部分，应采用集成的成熟配套产品（作动缸、伺服阀、球铰等均应为同一制造商制作）。投标文件中需注明作动缸、伺服阀和球铰的具体型号、规格及制造商全称，并提供公开发布的产品资料并加盖投标人公章。</w:t>
      </w:r>
    </w:p>
    <w:p w14:paraId="7535A69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（4）作动器配置的</w:t>
      </w:r>
      <w:r>
        <w:rPr>
          <w:rFonts w:hint="eastAsia" w:ascii="宋体" w:hAnsi="宋体" w:eastAsia="宋体" w:cs="宋体"/>
          <w:szCs w:val="21"/>
        </w:rPr>
        <w:t>伺服阀流量≥600LPM，固有频率≥80HZ，使用温度范围优于：-50摄氏度-120摄氏度，导孔级过滤3 微米，并提供公开发布的产品资料并加盖投标人公章。</w:t>
      </w:r>
    </w:p>
    <w:p w14:paraId="2645A044">
      <w:pPr>
        <w:adjustRightInd w:val="0"/>
        <w:snapToGrid w:val="0"/>
        <w:spacing w:line="360" w:lineRule="auto"/>
        <w:ind w:firstLine="420" w:firstLineChars="200"/>
        <w:rPr>
          <w:rFonts w:ascii="宋体" w:hAnsi="宋体" w:eastAsia="宋体" w:cs="宋体"/>
          <w:kern w:val="0"/>
          <w:szCs w:val="21"/>
        </w:rPr>
      </w:pPr>
    </w:p>
    <w:p w14:paraId="58221244">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4、4m×4m三向六自由度地震模拟振动台试验系统液压油源和管路系统</w:t>
      </w:r>
    </w:p>
    <w:p w14:paraId="2E239212">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◆（1）当液压油源工作压力为21MPa时，液压油源总流量≥1200LPM。投标人应明确所提供油源的工作压力。本次采购的液压油源具有与用户现有的多通道电液伺服加载系统的600 LPM静音型液压油源共用的能力，满足大型抗震研究试验平台建设需要。</w:t>
      </w:r>
      <w:r>
        <w:rPr>
          <w:rFonts w:hint="eastAsia" w:ascii="宋体" w:hAnsi="宋体" w:eastAsia="宋体" w:cs="宋体"/>
          <w:bCs/>
          <w:szCs w:val="21"/>
        </w:rPr>
        <w:t>液压系统不得有渗漏油现象。</w:t>
      </w:r>
    </w:p>
    <w:p w14:paraId="25A78E70">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为减少室内噪音，提供良好的试验环境，本次采购货物中的液压动力源为静音油源，并提供噪音控制方面所采取的先进技术措施及相应证明材料。投标人应提供油源在不同油泵单元满负荷工作状态下油源周围1米处的噪音声级资料，单台油源满负荷工作时距离油源1米四周噪音不超过72分贝。提供油源工作时噪音水平不超过72分贝的相关证明材料。</w:t>
      </w:r>
    </w:p>
    <w:p w14:paraId="2810269F">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（3）液压油源应采用恒压输出油泵，并可根据试验实际需要的流量，智能的自动调节各个泵组的开与关。液压油源应符合国家相关标准（安全及环保标准）.液压系统生产应符合规范，必须达到ISO4406 16/13/10污染度标准。</w:t>
      </w:r>
      <w:r>
        <w:rPr>
          <w:rFonts w:hint="eastAsia" w:ascii="宋体" w:hAnsi="宋体" w:eastAsia="宋体" w:cs="宋体"/>
          <w:bCs/>
          <w:szCs w:val="21"/>
        </w:rPr>
        <w:t>保证清洁度以及长久使用稳定性。油源连续正常工作时间≥1000小时。</w:t>
      </w:r>
    </w:p>
    <w:p w14:paraId="0EA663A1">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振动台系统液压油源将与多通道电液伺服加载系统共用，应具有切换阀和相应的部件。液压油源系统应具有抑制液压脉动功能。液压油源应具有油源温度、压力、液位、滤油器故障等指示和声光报警应急处理功能。液压油源具有应急停按钮，在紧急时刻可以停止所有油泵的工作。液压油源系统具有自动监控油温、油压等功能；液压油源系统应具备电流尖峰消除技术。投标时需提供公开发布的共用方案说明并加盖投标人公章。</w:t>
      </w:r>
    </w:p>
    <w:p w14:paraId="2048BE01">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（5）本次采购的液压油源应提供满足系统正常使用的足量液压油。考虑到油源共用，为保证提供的</w:t>
      </w:r>
      <w:r>
        <w:rPr>
          <w:rFonts w:hint="eastAsia" w:ascii="宋体" w:hAnsi="宋体" w:eastAsia="宋体" w:cs="宋体"/>
          <w:bCs/>
          <w:szCs w:val="21"/>
        </w:rPr>
        <w:t>≥</w:t>
      </w:r>
      <w:r>
        <w:rPr>
          <w:rFonts w:hint="eastAsia" w:ascii="宋体" w:hAnsi="宋体" w:eastAsia="宋体" w:cs="宋体"/>
          <w:kern w:val="0"/>
          <w:szCs w:val="21"/>
        </w:rPr>
        <w:t xml:space="preserve">4000L液压油与试验室现有油源（美孚DTE 25-抗磨液压油）以及硬管路中的液压油油质相同，投标时至少应明确所提供的液压油的品牌。 </w:t>
      </w:r>
    </w:p>
    <w:p w14:paraId="21ADEDC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有关液压分配系统管道的长度、泵房位置以及管沟大小等，投标人应根据采购人提供的振动台平面布置图提供所需的硬管总成，硬管应满足振动台系统额定工作状态下对油压、油量等要求。投标人应根据液压泵源位置和用户使用便利，对硬管走向、接出方式提出方案和要求，并与用户进行技术协调。</w:t>
      </w:r>
      <w:r>
        <w:rPr>
          <w:rFonts w:hint="eastAsia" w:ascii="宋体" w:hAnsi="宋体" w:eastAsia="宋体" w:cs="宋体"/>
          <w:bCs/>
          <w:szCs w:val="21"/>
        </w:rPr>
        <w:t>中标人全权负责硬管系统的安装和调试。投标人应提供详细的油源尺寸布局图，确保与试验室提供的油源间匹配。</w:t>
      </w:r>
    </w:p>
    <w:p w14:paraId="2887B4B9">
      <w:pPr>
        <w:adjustRightInd w:val="0"/>
        <w:snapToGrid w:val="0"/>
        <w:spacing w:line="360" w:lineRule="auto"/>
        <w:ind w:firstLine="420" w:firstLineChars="200"/>
        <w:rPr>
          <w:rFonts w:ascii="宋体" w:hAnsi="宋体" w:eastAsia="宋体" w:cs="宋体"/>
          <w:bCs/>
          <w:szCs w:val="21"/>
        </w:rPr>
      </w:pPr>
    </w:p>
    <w:p w14:paraId="792CF758">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5、4m×4m三向六自由度地震模拟振动台试验系统控制系统</w:t>
      </w:r>
    </w:p>
    <w:p w14:paraId="4D19D88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控制系统对振动台进行控制时，应实现加速度模式和位移模式，以及多自由度控制，且都应包括正弦等周期波、地震原波或压缩波、人工合成波的控制。控制系统要求具有离线迭代（Off-line）和在线（On-line）补偿两种控制功能。控制系统应具有非常方便的控制操作界面，并且可以方便地开窗显示各类数据参数（方便地对振动台的主振加速度和位移、横向加速度或位移进行分别或同时显示）。系统应具有完善的保护功能，控制系统应能方便地设置各类安全保护参数，并能及时显示各类危险警示。应配备合适容量的UPS不间断电源，保证停电后控制器及计算机续电能力≥1小时。控制系统应具有与其他数据处理软件进行联系的外接接口。控制系统能够在每次试验步骤开始瞬间，通过输出口输出多个同步信号给另外一台数据采集系统（试件信号采集）作为同步信号，至少提供4个同步信号触发和采样通道。控制系统应可接受外部控制信号。出现意外时控制系统应能及时警示，并跳出合理操作提示，使振动台系统自动平稳停止。振动台控制系统应预留相应的至少2个备用控制通道。在进行随机波试验时，应具有改善系统和试验件响应的功能。</w:t>
      </w:r>
    </w:p>
    <w:p w14:paraId="73940901">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◆（2）全数字控制器必须采用MVME总线技术，且为控制系统具有优越的抗冲击、噪声低、带宽高等特点。投标时需提供公开发布的产品资料并加盖投标人公章。</w:t>
      </w:r>
    </w:p>
    <w:p w14:paraId="112A6F64">
      <w:pPr>
        <w:adjustRightInd w:val="0"/>
        <w:snapToGrid w:val="0"/>
        <w:spacing w:line="360" w:lineRule="auto"/>
        <w:ind w:firstLine="420" w:firstLineChars="200"/>
        <w:rPr>
          <w:rFonts w:ascii="宋体" w:hAnsi="宋体"/>
          <w:kern w:val="0"/>
          <w:sz w:val="24"/>
        </w:rPr>
      </w:pPr>
      <w:r>
        <w:rPr>
          <w:rFonts w:hint="eastAsia" w:ascii="宋体" w:hAnsi="宋体" w:eastAsia="宋体" w:cs="宋体"/>
          <w:kern w:val="0"/>
          <w:szCs w:val="21"/>
        </w:rPr>
        <w:t>◆（3）具备位移、速度和加速度等三参量控制：在整个工作频率范围内，对所有自由度，应能同时进行 D、V 和A 的闭环控制.</w:t>
      </w:r>
      <w:r>
        <w:rPr>
          <w:rFonts w:ascii="宋体" w:hAnsi="宋体" w:eastAsia="宋体" w:cs="宋体"/>
          <w:kern w:val="0"/>
          <w:szCs w:val="21"/>
        </w:rPr>
        <w:t xml:space="preserve"> </w:t>
      </w:r>
      <w:r>
        <w:rPr>
          <w:rFonts w:hint="eastAsia" w:ascii="宋体" w:hAnsi="宋体" w:eastAsia="宋体" w:cs="宋体"/>
          <w:kern w:val="0"/>
          <w:szCs w:val="21"/>
        </w:rPr>
        <w:t>以上需提供相应测试软件截图并加盖投标人</w:t>
      </w:r>
      <w:r>
        <w:rPr>
          <w:rFonts w:ascii="宋体" w:hAnsi="宋体" w:eastAsia="宋体" w:cs="宋体"/>
          <w:kern w:val="0"/>
          <w:szCs w:val="21"/>
        </w:rPr>
        <w:t xml:space="preserve"> </w:t>
      </w:r>
      <w:r>
        <w:rPr>
          <w:rFonts w:hint="eastAsia" w:ascii="宋体" w:hAnsi="宋体" w:eastAsia="宋体" w:cs="宋体"/>
          <w:kern w:val="0"/>
          <w:szCs w:val="21"/>
        </w:rPr>
        <w:t>公章。</w:t>
      </w:r>
    </w:p>
    <w:p w14:paraId="240004E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◆（4）控制系统允许非迭代的基于非线性和实时变化的试样动态实时补偿。具备自动调谐功能：能够实时实现高精度控制以及闭环回路控制。以上需提供相应证明案例以及截图，并加盖投标人公章。</w:t>
      </w:r>
    </w:p>
    <w:p w14:paraId="2FC8E6E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（5）地震数字式控制系统应提供高级图形用户接口或 GUI（图形用户界面）。实时控制系统至少应满足如下要求：</w:t>
      </w:r>
    </w:p>
    <w:p w14:paraId="494E6B8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（a）自由度控制； </w:t>
      </w:r>
    </w:p>
    <w:p w14:paraId="6080FF4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（b）倾覆力矩及偏心力矩的自动补偿； </w:t>
      </w:r>
    </w:p>
    <w:p w14:paraId="4FCF0935">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（c）压差稳定控制； </w:t>
      </w:r>
    </w:p>
    <w:p w14:paraId="54A1271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（d）力平衡控制； </w:t>
      </w:r>
    </w:p>
    <w:p w14:paraId="4565B2B0">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（e）几何交叉耦合补偿； </w:t>
      </w:r>
    </w:p>
    <w:p w14:paraId="6984E426">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（f）自适应控制补偿； </w:t>
      </w:r>
    </w:p>
    <w:p w14:paraId="2A317A52">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（g）幅值相位控制、自适应去谐波控制； </w:t>
      </w:r>
    </w:p>
    <w:p w14:paraId="472E609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（5）提供控制分析系统，且至少满足如下功能要求： </w:t>
      </w:r>
    </w:p>
    <w:p w14:paraId="593BB780">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（a）地震和其它振动试验的系统设置功能；</w:t>
      </w:r>
    </w:p>
    <w:p w14:paraId="62FB8A01">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（b）进行地震模拟和其它振动试验的能力；</w:t>
      </w:r>
    </w:p>
    <w:p w14:paraId="66EA46C4">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（c）数据采集功能，通道数不少于16通道，可以采集应变，位移，速度，加速度等信息；</w:t>
      </w:r>
    </w:p>
    <w:p w14:paraId="44A9B774">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（d）频谱分析、时域分析、概率分析、模态分析等功能；</w:t>
      </w:r>
    </w:p>
    <w:p w14:paraId="3DEFA659">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（e）加速度信号转换成位移信号的批处理功能；</w:t>
      </w:r>
    </w:p>
    <w:p w14:paraId="2DCD6991">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（f）多自由度控制功能；</w:t>
      </w:r>
    </w:p>
    <w:p w14:paraId="3C57B339">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（g）迭代功能；</w:t>
      </w:r>
    </w:p>
    <w:p w14:paraId="0B83597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（h）从台面试验试件上拾取加速度信号并参与反馈控制功能；</w:t>
      </w:r>
    </w:p>
    <w:p w14:paraId="490CEAB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（i）人工造波功能（时域和频域）；</w:t>
      </w:r>
    </w:p>
    <w:p w14:paraId="0F94AA26">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（j）具有地震工程界公认的著名地震波数据库，并有今后扩充数据库的功能；</w:t>
      </w:r>
    </w:p>
    <w:p w14:paraId="5550347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（k）文件管理功能（存储、编辑、打印、多种文件格式转换等功能）；</w:t>
      </w:r>
    </w:p>
    <w:p w14:paraId="00F9B012">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（l）采集数据图形生成、存储、打印等功能；</w:t>
      </w:r>
    </w:p>
    <w:p w14:paraId="05E4592A">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（m）提供编程环境，具有系统实时编程能力。</w:t>
      </w:r>
    </w:p>
    <w:p w14:paraId="243D63B2">
      <w:pPr>
        <w:adjustRightInd w:val="0"/>
        <w:snapToGrid w:val="0"/>
        <w:spacing w:line="360" w:lineRule="auto"/>
        <w:ind w:firstLine="420" w:firstLineChars="200"/>
        <w:rPr>
          <w:rFonts w:ascii="宋体" w:hAnsi="宋体" w:eastAsia="宋体" w:cs="宋体"/>
          <w:kern w:val="0"/>
          <w:szCs w:val="21"/>
        </w:rPr>
      </w:pPr>
      <w:bookmarkStart w:id="7" w:name="_Hlk184932636"/>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本</w:t>
      </w:r>
      <w:r>
        <w:rPr>
          <w:rFonts w:ascii="宋体" w:hAnsi="宋体" w:eastAsia="宋体" w:cs="宋体"/>
          <w:kern w:val="0"/>
          <w:szCs w:val="21"/>
        </w:rPr>
        <w:t>次采购的振动台</w:t>
      </w:r>
      <w:r>
        <w:rPr>
          <w:rFonts w:hint="eastAsia" w:ascii="宋体" w:hAnsi="宋体" w:eastAsia="宋体" w:cs="宋体"/>
          <w:kern w:val="0"/>
          <w:szCs w:val="21"/>
        </w:rPr>
        <w:t>控制器应能够和实验室现有的</w:t>
      </w:r>
      <w:r>
        <w:rPr>
          <w:rFonts w:ascii="宋体" w:hAnsi="宋体" w:eastAsia="宋体" w:cs="宋体"/>
          <w:kern w:val="0"/>
          <w:szCs w:val="21"/>
        </w:rPr>
        <w:t>多通道</w:t>
      </w:r>
      <w:r>
        <w:rPr>
          <w:rFonts w:hint="eastAsia" w:ascii="宋体" w:hAnsi="宋体" w:eastAsia="宋体" w:cs="宋体"/>
          <w:kern w:val="0"/>
          <w:szCs w:val="21"/>
        </w:rPr>
        <w:t>电液伺服加载系统</w:t>
      </w:r>
      <w:r>
        <w:rPr>
          <w:rFonts w:ascii="宋体" w:hAnsi="宋体" w:eastAsia="宋体" w:cs="宋体"/>
          <w:kern w:val="0"/>
          <w:szCs w:val="21"/>
        </w:rPr>
        <w:t>的控制器</w:t>
      </w:r>
      <w:r>
        <w:rPr>
          <w:rFonts w:hint="eastAsia" w:ascii="宋体" w:hAnsi="宋体" w:eastAsia="宋体" w:cs="宋体"/>
          <w:kern w:val="0"/>
          <w:szCs w:val="21"/>
        </w:rPr>
        <w:t>进行实时数据交互，保持时钟同步；或增加相应的设备实现子结构地震混合仿真试验及边界约束条件。</w:t>
      </w:r>
    </w:p>
    <w:bookmarkEnd w:id="7"/>
    <w:p w14:paraId="622674EB">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为了保证高闭环控制速率和地震模拟试验高频响特性，控制系统数据采集频率≥</w:t>
      </w:r>
      <w:r>
        <w:rPr>
          <w:rFonts w:ascii="宋体" w:hAnsi="宋体" w:eastAsia="宋体" w:cs="宋体"/>
          <w:kern w:val="0"/>
          <w:szCs w:val="21"/>
        </w:rPr>
        <w:t>120kHz</w:t>
      </w:r>
      <w:r>
        <w:rPr>
          <w:rFonts w:hint="eastAsia" w:ascii="宋体" w:hAnsi="宋体" w:eastAsia="宋体" w:cs="宋体"/>
          <w:kern w:val="0"/>
          <w:szCs w:val="21"/>
        </w:rPr>
        <w:t>。振动台</w:t>
      </w:r>
      <w:r>
        <w:rPr>
          <w:rFonts w:ascii="宋体" w:hAnsi="宋体" w:eastAsia="宋体" w:cs="宋体"/>
          <w:kern w:val="0"/>
          <w:szCs w:val="21"/>
        </w:rPr>
        <w:t>控制系统</w:t>
      </w:r>
      <w:r>
        <w:rPr>
          <w:rFonts w:hint="eastAsia" w:ascii="宋体" w:hAnsi="宋体" w:eastAsia="宋体" w:cs="宋体"/>
          <w:kern w:val="0"/>
          <w:szCs w:val="21"/>
        </w:rPr>
        <w:t>闭环控制速率≥</w:t>
      </w:r>
      <w:r>
        <w:rPr>
          <w:rFonts w:ascii="宋体" w:hAnsi="宋体" w:eastAsia="宋体" w:cs="宋体"/>
          <w:kern w:val="0"/>
          <w:szCs w:val="21"/>
        </w:rPr>
        <w:t>6kHz</w:t>
      </w:r>
      <w:r>
        <w:rPr>
          <w:rFonts w:hint="eastAsia" w:ascii="宋体" w:hAnsi="宋体" w:eastAsia="宋体" w:cs="宋体"/>
          <w:kern w:val="0"/>
          <w:szCs w:val="21"/>
        </w:rPr>
        <w:t>。</w:t>
      </w:r>
    </w:p>
    <w:p w14:paraId="78604055">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（8）反馈信号采样分辨率：≥18 位。信号输出分辨率：≥16位。反馈信号采样率：≥100KHz，存储频率：≥200Hz。实时控制闭环迭代速率：不低于1kHz。信号输出频率范围：0.01Hz~100Hz。伺服控制方式：全数字闭环控制。控制器系统静态误差：≤0.5%FS。系统安全极限检查周期：≤1ms。加载波形：正弦、斜波、方波、自定义波形等。闭环控制反馈数据采集通道：每通道系统数字调理回路不得低于3路; 每个控制通道的力和位移反馈输入接口插座和伺服阀输出接口插座应集成在同一块硬件电路卡和接口面板上。每路闭环控制通道应具有至少2路载荷反馈和1路位移反馈通道，反馈通道不与其它通道复用。数字调理器信号类型：对直流型和交流型信号进行调节,可以定义为半桥型、全桥型载荷传感器、LVDT或直流型位移传感器、应变、温度以及输出为高低电平的其他类型传感器信号。</w:t>
      </w:r>
    </w:p>
    <w:p w14:paraId="1F91070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数字调理器功能：能够为每路接入传感器提供激励电源，并能够自动补偿控制传感器上的激励电压，具有激励失效检测功能，当出现激励失效时显示提示信息，同时能够及时输出控制信号，切断液压子站，停止试验。直流激励（桥压）：10V平稳的恒压电源；每个通道配置独立的激励源，具有长导线修正补偿。交流激励：峰值10V的稳定电源，每个通道配置独立的交流激励电源。导线连接：提供激励电压长导线自动补偿功能，用于精准控制传感器上的激励电压。控制器校准：支持多种校准方法（双向分流校准、灵敏度校准、电压校准等）。伺服阀驱动器通道：8通道，支持±100mA以内电流信号和±10V以内电压信号，无极可调。控制模式：每个控制通道能够根据试验需要定义为载荷、位移、压力、角度、扭矩等不同控制模式，并且控制模式能够任意切换，无系统冲击。一项试验中有多个加载点时，实现多通道协调加载。系统供电要求：AC220V；50Hz自适应；具有短路、漏电及过载保护装置。</w:t>
      </w:r>
    </w:p>
    <w:p w14:paraId="19C82F1A">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混合仿真试验系统：本系统采用计算机模型以数字方式模拟结构周围结构的物理影响。通过实时混合模拟技术综合了虚拟测试和物理测试的优点，通过高级算法将物理测试数据和虚拟模型数据融合到统一的模拟过程中，系统支持OpenSee及OpenFresco控制处理的软件。</w:t>
      </w:r>
    </w:p>
    <w:p w14:paraId="2FC3C6D2">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◆（11）提供正反演算模型（含全套电液伺服系统、台面以及理想刚度试验件），在离线状态下，针对系统响该模型应可进行仿真和计算。需提供演算模型截图，并加盖投标人公章。</w:t>
      </w:r>
    </w:p>
    <w:p w14:paraId="04AF3FFB">
      <w:pPr>
        <w:adjustRightInd w:val="0"/>
        <w:snapToGrid w:val="0"/>
        <w:spacing w:line="360" w:lineRule="auto"/>
        <w:ind w:firstLine="420" w:firstLineChars="200"/>
        <w:rPr>
          <w:rFonts w:ascii="宋体" w:hAnsi="宋体" w:eastAsia="宋体" w:cs="宋体"/>
          <w:kern w:val="0"/>
          <w:szCs w:val="21"/>
        </w:rPr>
      </w:pPr>
    </w:p>
    <w:p w14:paraId="523643EB">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6、蓄能器组</w:t>
      </w:r>
    </w:p>
    <w:p w14:paraId="06D87002">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（1）提供系统所需要的蓄能器组，规格≥2300L。</w:t>
      </w:r>
    </w:p>
    <w:p w14:paraId="384DA3D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（2）提供台面支撑系统，与台面规格匹配。</w:t>
      </w:r>
    </w:p>
    <w:p w14:paraId="159341E7">
      <w:pPr>
        <w:adjustRightInd w:val="0"/>
        <w:snapToGrid w:val="0"/>
        <w:spacing w:line="360" w:lineRule="auto"/>
        <w:ind w:firstLine="420" w:firstLineChars="200"/>
        <w:rPr>
          <w:rFonts w:ascii="宋体" w:hAnsi="宋体" w:eastAsia="宋体" w:cs="宋体"/>
          <w:kern w:val="0"/>
          <w:szCs w:val="21"/>
        </w:rPr>
      </w:pPr>
    </w:p>
    <w:p w14:paraId="4D5409BE">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7、配套强度测试装置</w:t>
      </w:r>
    </w:p>
    <w:p w14:paraId="2C069B29">
      <w:pPr>
        <w:spacing w:line="360" w:lineRule="auto"/>
        <w:rPr>
          <w:rFonts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kern w:val="0"/>
          <w:sz w:val="24"/>
        </w:rPr>
        <w:t xml:space="preserve"> </w:t>
      </w:r>
      <w:r>
        <w:rPr>
          <w:rFonts w:ascii="宋体" w:hAnsi="宋体"/>
          <w:kern w:val="0"/>
          <w:sz w:val="24"/>
        </w:rPr>
        <w:t xml:space="preserve">   </w:t>
      </w:r>
      <w:r>
        <w:rPr>
          <w:rFonts w:hint="eastAsia" w:ascii="宋体" w:hAnsi="宋体" w:eastAsia="宋体" w:cs="宋体"/>
          <w:kern w:val="0"/>
          <w:szCs w:val="21"/>
        </w:rPr>
        <w:t>（</w:t>
      </w:r>
      <w:r>
        <w:rPr>
          <w:rFonts w:ascii="宋体" w:hAnsi="宋体" w:eastAsia="宋体" w:cs="宋体"/>
          <w:kern w:val="0"/>
          <w:szCs w:val="21"/>
        </w:rPr>
        <w:t>1）</w:t>
      </w:r>
      <w:bookmarkStart w:id="8" w:name="_Hlk184933416"/>
      <w:bookmarkStart w:id="9" w:name="_Hlk184931947"/>
      <w:r>
        <w:rPr>
          <w:rFonts w:hint="eastAsia" w:ascii="宋体" w:hAnsi="宋体" w:eastAsia="宋体" w:cs="宋体"/>
          <w:kern w:val="0"/>
          <w:szCs w:val="21"/>
        </w:rPr>
        <w:t>主机额定承载力</w:t>
      </w:r>
      <w:r>
        <w:rPr>
          <w:rFonts w:ascii="宋体" w:hAnsi="宋体" w:eastAsia="宋体" w:cs="宋体"/>
          <w:kern w:val="0"/>
          <w:szCs w:val="21"/>
        </w:rPr>
        <w:t>10000kN，有效行程300mm。允许过载量5%。系统精度等级1级，测量范围1%～100%。上下压盘间距离</w:t>
      </w:r>
      <w:r>
        <w:rPr>
          <w:rFonts w:hint="eastAsia" w:ascii="宋体" w:hAnsi="宋体" w:eastAsia="宋体" w:cs="宋体"/>
          <w:kern w:val="0"/>
          <w:szCs w:val="21"/>
        </w:rPr>
        <w:t>≥</w:t>
      </w:r>
      <w:r>
        <w:rPr>
          <w:rFonts w:ascii="宋体" w:hAnsi="宋体" w:eastAsia="宋体" w:cs="宋体"/>
          <w:kern w:val="0"/>
          <w:szCs w:val="21"/>
        </w:rPr>
        <w:t>6000mm，压缩夹具压盘尺寸：</w:t>
      </w:r>
      <w:r>
        <w:rPr>
          <w:rFonts w:hint="eastAsia" w:ascii="宋体" w:hAnsi="宋体" w:eastAsia="宋体" w:cs="宋体"/>
          <w:kern w:val="0"/>
          <w:szCs w:val="21"/>
        </w:rPr>
        <w:t>≥</w:t>
      </w:r>
      <w:r>
        <w:rPr>
          <w:rFonts w:ascii="宋体" w:hAnsi="宋体" w:eastAsia="宋体" w:cs="宋体"/>
          <w:kern w:val="0"/>
          <w:szCs w:val="21"/>
        </w:rPr>
        <w:t>1000mm×1000mm。油源采用压力随动技术，风冷却循环。主缸空载速度≤50mm/min。系统可以脱机使用，即在</w:t>
      </w:r>
      <w:r>
        <w:rPr>
          <w:rFonts w:hint="eastAsia" w:ascii="宋体" w:hAnsi="宋体" w:eastAsia="宋体" w:cs="宋体"/>
          <w:kern w:val="0"/>
          <w:szCs w:val="21"/>
        </w:rPr>
        <w:t>控制系统失效时也可进行加载试验。</w:t>
      </w:r>
      <w:bookmarkEnd w:id="8"/>
    </w:p>
    <w:bookmarkEnd w:id="9"/>
    <w:p w14:paraId="147B4545">
      <w:pPr>
        <w:spacing w:line="360" w:lineRule="auto"/>
        <w:rPr>
          <w:rFonts w:ascii="宋体" w:hAnsi="宋体" w:eastAsia="宋体" w:cs="宋体"/>
          <w:kern w:val="0"/>
          <w:szCs w:val="21"/>
        </w:rPr>
      </w:pPr>
    </w:p>
    <w:p w14:paraId="581D2595">
      <w:pPr>
        <w:adjustRightInd w:val="0"/>
        <w:snapToGrid w:val="0"/>
        <w:spacing w:line="360" w:lineRule="auto"/>
        <w:ind w:firstLine="420" w:firstLineChars="200"/>
        <w:rPr>
          <w:rFonts w:ascii="宋体" w:hAnsi="宋体" w:eastAsia="宋体" w:cs="宋体"/>
          <w:kern w:val="0"/>
          <w:szCs w:val="21"/>
        </w:rPr>
      </w:pPr>
    </w:p>
    <w:p w14:paraId="7137A3D6">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8、配套反力支座及预埋件</w:t>
      </w:r>
    </w:p>
    <w:p w14:paraId="7E95395B">
      <w:pPr>
        <w:suppressAutoHyphens/>
        <w:spacing w:line="360" w:lineRule="auto"/>
        <w:ind w:left="420"/>
        <w:rPr>
          <w:rFonts w:ascii="宋体" w:hAnsi="宋体" w:eastAsia="宋体" w:cs="宋体"/>
          <w:color w:val="333333"/>
          <w:szCs w:val="21"/>
        </w:rPr>
      </w:pPr>
      <w:r>
        <w:rPr>
          <w:rFonts w:hint="eastAsia" w:ascii="宋体" w:hAnsi="宋体" w:eastAsia="宋体" w:cs="宋体"/>
          <w:color w:val="333333"/>
          <w:szCs w:val="21"/>
        </w:rPr>
        <w:t>（</w:t>
      </w:r>
      <w:r>
        <w:rPr>
          <w:rFonts w:ascii="宋体" w:hAnsi="宋体" w:eastAsia="宋体" w:cs="宋体"/>
          <w:color w:val="333333"/>
          <w:szCs w:val="21"/>
        </w:rPr>
        <w:t>1</w:t>
      </w:r>
      <w:r>
        <w:rPr>
          <w:rFonts w:hint="eastAsia" w:ascii="宋体" w:hAnsi="宋体" w:eastAsia="宋体" w:cs="宋体"/>
          <w:color w:val="333333"/>
          <w:szCs w:val="21"/>
        </w:rPr>
        <w:t>）提供振动台使用的全套反力支座并安装，及</w:t>
      </w:r>
      <w:r>
        <w:rPr>
          <w:rFonts w:ascii="宋体" w:hAnsi="宋体" w:eastAsia="宋体" w:cs="宋体"/>
          <w:color w:val="333333"/>
          <w:szCs w:val="21"/>
        </w:rPr>
        <w:t>1</w:t>
      </w:r>
      <w:r>
        <w:rPr>
          <w:rFonts w:hint="eastAsia" w:ascii="宋体" w:hAnsi="宋体" w:eastAsia="宋体" w:cs="宋体"/>
          <w:color w:val="333333"/>
          <w:szCs w:val="21"/>
        </w:rPr>
        <w:t>套不高于</w:t>
      </w:r>
      <w:r>
        <w:rPr>
          <w:rFonts w:ascii="宋体" w:hAnsi="宋体" w:eastAsia="宋体" w:cs="宋体"/>
          <w:color w:val="333333"/>
          <w:szCs w:val="21"/>
        </w:rPr>
        <w:t>3</w:t>
      </w:r>
      <w:r>
        <w:rPr>
          <w:rFonts w:hint="eastAsia" w:ascii="宋体" w:hAnsi="宋体" w:eastAsia="宋体" w:cs="宋体"/>
          <w:color w:val="333333"/>
          <w:szCs w:val="21"/>
        </w:rPr>
        <w:t>米侧向力加载反力架；提供振动台所需要的预埋件制作并安装，预埋件支持未来可拆卸反力架的安装，可结合振动台完成振动台子结构混合仿真试验；反力支座性能要求：满足≥</w:t>
      </w:r>
      <w:r>
        <w:rPr>
          <w:rFonts w:ascii="宋体" w:hAnsi="宋体" w:eastAsia="宋体" w:cs="宋体"/>
          <w:color w:val="333333"/>
          <w:szCs w:val="21"/>
        </w:rPr>
        <w:t>50HZ</w:t>
      </w:r>
      <w:r>
        <w:rPr>
          <w:rFonts w:hint="eastAsia" w:ascii="宋体" w:hAnsi="宋体" w:eastAsia="宋体" w:cs="宋体"/>
          <w:color w:val="333333"/>
          <w:szCs w:val="21"/>
        </w:rPr>
        <w:t>试验频率，以及最大</w:t>
      </w:r>
      <w:r>
        <w:rPr>
          <w:rFonts w:ascii="宋体" w:hAnsi="宋体" w:eastAsia="宋体" w:cs="宋体"/>
          <w:color w:val="333333"/>
          <w:szCs w:val="21"/>
        </w:rPr>
        <w:t>1.5g</w:t>
      </w:r>
      <w:r>
        <w:rPr>
          <w:rFonts w:hint="eastAsia" w:ascii="宋体" w:hAnsi="宋体" w:eastAsia="宋体" w:cs="宋体"/>
          <w:color w:val="333333"/>
          <w:szCs w:val="21"/>
        </w:rPr>
        <w:t>加速度（满载时）的使用要求；</w:t>
      </w:r>
    </w:p>
    <w:p w14:paraId="3DC65890">
      <w:pPr>
        <w:suppressAutoHyphens/>
        <w:spacing w:line="360" w:lineRule="auto"/>
        <w:ind w:left="420"/>
        <w:rPr>
          <w:rFonts w:ascii="宋体" w:hAnsi="宋体" w:eastAsia="宋体" w:cs="宋体"/>
          <w:color w:val="333333"/>
          <w:szCs w:val="21"/>
        </w:rPr>
      </w:pPr>
      <w:r>
        <w:rPr>
          <w:rFonts w:hint="eastAsia" w:ascii="宋体" w:hAnsi="宋体" w:eastAsia="宋体" w:cs="宋体"/>
          <w:color w:val="333333"/>
          <w:szCs w:val="21"/>
        </w:rPr>
        <w:t>（</w:t>
      </w:r>
      <w:r>
        <w:rPr>
          <w:rFonts w:ascii="宋体" w:hAnsi="宋体" w:eastAsia="宋体" w:cs="宋体"/>
          <w:color w:val="333333"/>
          <w:szCs w:val="21"/>
        </w:rPr>
        <w:t>2</w:t>
      </w:r>
      <w:r>
        <w:rPr>
          <w:rFonts w:hint="eastAsia" w:ascii="宋体" w:hAnsi="宋体" w:eastAsia="宋体" w:cs="宋体"/>
          <w:color w:val="333333"/>
          <w:szCs w:val="21"/>
        </w:rPr>
        <w:t>）提供振动台配套使用不小于</w:t>
      </w:r>
      <w:r>
        <w:rPr>
          <w:rFonts w:ascii="宋体" w:hAnsi="宋体" w:eastAsia="宋体" w:cs="宋体"/>
          <w:color w:val="333333"/>
          <w:szCs w:val="21"/>
        </w:rPr>
        <w:t>3</w:t>
      </w:r>
      <w:r>
        <w:rPr>
          <w:rFonts w:hint="eastAsia" w:ascii="宋体" w:hAnsi="宋体" w:eastAsia="宋体" w:cs="宋体"/>
          <w:color w:val="333333"/>
          <w:szCs w:val="21"/>
        </w:rPr>
        <w:t>米侧向力加载反力架，可结合振动台完成振动台子结构混合仿真试验；配套反力支座需要满足</w:t>
      </w:r>
      <w:r>
        <w:rPr>
          <w:rFonts w:ascii="宋体" w:hAnsi="宋体" w:eastAsia="宋体" w:cs="宋体"/>
          <w:color w:val="333333"/>
          <w:szCs w:val="21"/>
        </w:rPr>
        <w:t>4m</w:t>
      </w:r>
      <w:r>
        <w:rPr>
          <w:rFonts w:hint="eastAsia" w:ascii="宋体" w:hAnsi="宋体" w:eastAsia="宋体" w:cs="宋体"/>
          <w:color w:val="333333"/>
          <w:szCs w:val="21"/>
        </w:rPr>
        <w:t>×</w:t>
      </w:r>
      <w:r>
        <w:rPr>
          <w:rFonts w:ascii="宋体" w:hAnsi="宋体" w:eastAsia="宋体" w:cs="宋体"/>
          <w:color w:val="333333"/>
          <w:szCs w:val="21"/>
        </w:rPr>
        <w:t>4m</w:t>
      </w:r>
      <w:r>
        <w:rPr>
          <w:rFonts w:hint="eastAsia" w:ascii="宋体" w:hAnsi="宋体" w:eastAsia="宋体" w:cs="宋体"/>
          <w:color w:val="333333"/>
          <w:szCs w:val="21"/>
        </w:rPr>
        <w:t>三向六自由度地震模拟振动台试验系统性能需求，保证振动台在最大功率运行时不对周围建筑及办公室等产生影响，满足国家相关隔振规范。</w:t>
      </w:r>
    </w:p>
    <w:p w14:paraId="7D405391">
      <w:pPr>
        <w:suppressAutoHyphens/>
        <w:spacing w:line="360" w:lineRule="auto"/>
        <w:ind w:left="420"/>
        <w:rPr>
          <w:rFonts w:ascii="宋体" w:hAnsi="宋体" w:eastAsia="宋体" w:cs="宋体"/>
          <w:color w:val="333333"/>
          <w:szCs w:val="21"/>
        </w:rPr>
      </w:pPr>
    </w:p>
    <w:p w14:paraId="27D2D7EA">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9、冷却系统</w:t>
      </w:r>
    </w:p>
    <w:p w14:paraId="5EB1F7C2">
      <w:pPr>
        <w:adjustRightInd w:val="0"/>
        <w:snapToGrid w:val="0"/>
        <w:spacing w:line="360" w:lineRule="auto"/>
        <w:ind w:firstLine="420" w:firstLineChars="200"/>
        <w:outlineLvl w:val="0"/>
        <w:rPr>
          <w:rFonts w:ascii="宋体" w:hAnsi="宋体" w:eastAsia="宋体" w:cs="宋体"/>
          <w:color w:val="333333"/>
          <w:szCs w:val="21"/>
        </w:rPr>
      </w:pPr>
      <w:r>
        <w:rPr>
          <w:rFonts w:hint="eastAsia" w:ascii="宋体" w:hAnsi="宋体" w:eastAsia="宋体" w:cs="宋体"/>
          <w:color w:val="333333"/>
          <w:szCs w:val="21"/>
        </w:rPr>
        <w:t>（1）提供系统配套的冷却系统，保证系统工作时液压油在40-45摄氏度的最佳工作温度。</w:t>
      </w:r>
    </w:p>
    <w:p w14:paraId="6C7ABFD1">
      <w:pPr>
        <w:adjustRightInd w:val="0"/>
        <w:snapToGrid w:val="0"/>
        <w:spacing w:line="360" w:lineRule="auto"/>
        <w:ind w:firstLine="422" w:firstLineChars="200"/>
        <w:outlineLvl w:val="0"/>
        <w:rPr>
          <w:rFonts w:ascii="宋体" w:hAnsi="宋体" w:eastAsia="宋体" w:cs="宋体"/>
          <w:b/>
          <w:kern w:val="0"/>
          <w:szCs w:val="21"/>
        </w:rPr>
      </w:pPr>
    </w:p>
    <w:p w14:paraId="3C1D95CF">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10、配套高分辨率电荷放大器</w:t>
      </w:r>
    </w:p>
    <w:p w14:paraId="5608FACB">
      <w:pPr>
        <w:suppressAutoHyphens/>
        <w:spacing w:line="360" w:lineRule="auto"/>
        <w:ind w:left="420"/>
        <w:rPr>
          <w:rFonts w:ascii="宋体" w:hAnsi="宋体" w:eastAsia="宋体" w:cs="宋体"/>
          <w:color w:val="333333"/>
          <w:szCs w:val="21"/>
        </w:rPr>
      </w:pPr>
      <w:r>
        <w:rPr>
          <w:rFonts w:hint="eastAsia" w:ascii="宋体" w:hAnsi="宋体" w:eastAsia="宋体" w:cs="宋体"/>
          <w:color w:val="333333"/>
          <w:szCs w:val="21"/>
        </w:rPr>
        <w:t>（</w:t>
      </w:r>
      <w:r>
        <w:rPr>
          <w:rFonts w:ascii="宋体" w:hAnsi="宋体" w:eastAsia="宋体" w:cs="宋体"/>
          <w:color w:val="333333"/>
          <w:szCs w:val="21"/>
        </w:rPr>
        <w:t>1</w:t>
      </w:r>
      <w:r>
        <w:rPr>
          <w:rFonts w:hint="eastAsia" w:ascii="宋体" w:hAnsi="宋体" w:eastAsia="宋体" w:cs="宋体"/>
          <w:color w:val="333333"/>
          <w:szCs w:val="21"/>
        </w:rPr>
        <w:t>）电荷采集仪可同时采集</w:t>
      </w:r>
      <w:r>
        <w:rPr>
          <w:rFonts w:ascii="宋体" w:hAnsi="宋体" w:eastAsia="宋体" w:cs="宋体"/>
          <w:color w:val="333333"/>
          <w:szCs w:val="21"/>
        </w:rPr>
        <w:t>8</w:t>
      </w:r>
      <w:r>
        <w:rPr>
          <w:rFonts w:hint="eastAsia" w:ascii="宋体" w:hAnsi="宋体" w:eastAsia="宋体" w:cs="宋体"/>
          <w:color w:val="333333"/>
          <w:szCs w:val="21"/>
        </w:rPr>
        <w:t>个通道的电荷信号；电荷测量线性度误差：±</w:t>
      </w:r>
      <w:r>
        <w:rPr>
          <w:rFonts w:ascii="宋体" w:hAnsi="宋体" w:eastAsia="宋体" w:cs="宋体"/>
          <w:color w:val="333333"/>
          <w:szCs w:val="21"/>
        </w:rPr>
        <w:t>0.05%FSO</w:t>
      </w:r>
    </w:p>
    <w:p w14:paraId="318A1A5C">
      <w:pPr>
        <w:suppressAutoHyphens/>
        <w:spacing w:line="360" w:lineRule="auto"/>
        <w:ind w:left="420"/>
        <w:rPr>
          <w:rFonts w:ascii="宋体" w:hAnsi="宋体" w:eastAsia="宋体" w:cs="宋体"/>
          <w:color w:val="333333"/>
          <w:szCs w:val="21"/>
        </w:rPr>
      </w:pPr>
      <w:r>
        <w:rPr>
          <w:rFonts w:hint="eastAsia" w:ascii="宋体" w:hAnsi="宋体" w:eastAsia="宋体" w:cs="宋体"/>
          <w:color w:val="333333"/>
          <w:szCs w:val="21"/>
        </w:rPr>
        <w:t>；电荷采集量程：±</w:t>
      </w:r>
      <w:r>
        <w:rPr>
          <w:rFonts w:ascii="宋体" w:hAnsi="宋体" w:eastAsia="宋体" w:cs="宋体"/>
          <w:color w:val="333333"/>
          <w:szCs w:val="21"/>
        </w:rPr>
        <w:t>1000pC</w:t>
      </w:r>
      <w:r>
        <w:rPr>
          <w:rFonts w:hint="eastAsia" w:ascii="宋体" w:hAnsi="宋体" w:eastAsia="宋体" w:cs="宋体"/>
          <w:color w:val="333333"/>
          <w:szCs w:val="21"/>
        </w:rPr>
        <w:t>至±</w:t>
      </w:r>
      <w:r>
        <w:rPr>
          <w:rFonts w:ascii="宋体" w:hAnsi="宋体" w:eastAsia="宋体" w:cs="宋体"/>
          <w:color w:val="333333"/>
          <w:szCs w:val="21"/>
        </w:rPr>
        <w:t>1000 0000pC(</w:t>
      </w:r>
      <w:r>
        <w:rPr>
          <w:rFonts w:hint="eastAsia" w:ascii="宋体" w:hAnsi="宋体" w:eastAsia="宋体" w:cs="宋体"/>
          <w:color w:val="333333"/>
          <w:szCs w:val="21"/>
        </w:rPr>
        <w:t>量程可在区间内任意可调</w:t>
      </w:r>
      <w:r>
        <w:rPr>
          <w:rFonts w:ascii="宋体" w:hAnsi="宋体" w:eastAsia="宋体" w:cs="宋体"/>
          <w:color w:val="333333"/>
          <w:szCs w:val="21"/>
        </w:rPr>
        <w:t>)</w:t>
      </w:r>
      <w:r>
        <w:rPr>
          <w:rFonts w:hint="eastAsia" w:ascii="宋体" w:hAnsi="宋体" w:eastAsia="宋体" w:cs="宋体"/>
          <w:color w:val="333333"/>
          <w:szCs w:val="21"/>
        </w:rPr>
        <w:t>；电荷衰减器：电荷衰减比例</w:t>
      </w:r>
      <w:r>
        <w:rPr>
          <w:rFonts w:ascii="宋体" w:hAnsi="宋体" w:eastAsia="宋体" w:cs="宋体"/>
          <w:color w:val="333333"/>
          <w:szCs w:val="21"/>
        </w:rPr>
        <w:t>1000:1</w:t>
      </w:r>
      <w:r>
        <w:rPr>
          <w:rFonts w:hint="eastAsia" w:ascii="宋体" w:hAnsi="宋体" w:eastAsia="宋体" w:cs="宋体"/>
          <w:color w:val="333333"/>
          <w:szCs w:val="21"/>
        </w:rPr>
        <w:t>，衰减器精度优于±</w:t>
      </w:r>
      <w:r>
        <w:rPr>
          <w:rFonts w:ascii="宋体" w:hAnsi="宋体" w:eastAsia="宋体" w:cs="宋体"/>
          <w:color w:val="333333"/>
          <w:szCs w:val="21"/>
        </w:rPr>
        <w:t>1%</w:t>
      </w:r>
      <w:r>
        <w:rPr>
          <w:rFonts w:hint="eastAsia" w:ascii="宋体" w:hAnsi="宋体" w:eastAsia="宋体" w:cs="宋体"/>
          <w:color w:val="333333"/>
          <w:szCs w:val="21"/>
        </w:rPr>
        <w:t>，绝缘阻抗优于</w:t>
      </w:r>
      <w:r>
        <w:rPr>
          <w:rFonts w:ascii="宋体" w:hAnsi="宋体" w:eastAsia="宋体" w:cs="宋体"/>
          <w:color w:val="333333"/>
          <w:szCs w:val="21"/>
        </w:rPr>
        <w:t>10^13</w:t>
      </w:r>
      <w:r>
        <w:rPr>
          <w:rFonts w:hint="eastAsia" w:ascii="宋体" w:hAnsi="宋体" w:eastAsia="宋体" w:cs="宋体"/>
          <w:color w:val="333333"/>
          <w:szCs w:val="21"/>
        </w:rPr>
        <w:t>欧姆；电荷采集分辨率：</w:t>
      </w:r>
      <w:r>
        <w:rPr>
          <w:rFonts w:ascii="宋体" w:hAnsi="宋体" w:eastAsia="宋体" w:cs="宋体"/>
          <w:color w:val="333333"/>
          <w:szCs w:val="21"/>
        </w:rPr>
        <w:t>24</w:t>
      </w:r>
      <w:r>
        <w:rPr>
          <w:rFonts w:hint="eastAsia" w:ascii="宋体" w:hAnsi="宋体" w:eastAsia="宋体" w:cs="宋体"/>
          <w:color w:val="333333"/>
          <w:szCs w:val="21"/>
        </w:rPr>
        <w:t>位</w:t>
      </w:r>
      <w:r>
        <w:rPr>
          <w:rFonts w:ascii="宋体" w:hAnsi="宋体" w:eastAsia="宋体" w:cs="宋体"/>
          <w:color w:val="333333"/>
          <w:szCs w:val="21"/>
        </w:rPr>
        <w:t>ADC</w:t>
      </w:r>
      <w:r>
        <w:rPr>
          <w:rFonts w:hint="eastAsia" w:ascii="宋体" w:hAnsi="宋体" w:eastAsia="宋体" w:cs="宋体"/>
          <w:color w:val="333333"/>
          <w:szCs w:val="21"/>
        </w:rPr>
        <w:t>；最高采样频率：</w:t>
      </w:r>
      <w:r>
        <w:rPr>
          <w:rFonts w:ascii="宋体" w:hAnsi="宋体" w:eastAsia="宋体" w:cs="宋体"/>
          <w:color w:val="333333"/>
          <w:szCs w:val="21"/>
        </w:rPr>
        <w:t>100ksps</w:t>
      </w:r>
      <w:r>
        <w:rPr>
          <w:rFonts w:hint="eastAsia" w:ascii="宋体" w:hAnsi="宋体" w:eastAsia="宋体" w:cs="宋体"/>
          <w:color w:val="333333"/>
          <w:szCs w:val="21"/>
        </w:rPr>
        <w:t>（可调）；电荷放电时间常数：长时间常数最高</w:t>
      </w:r>
      <w:r>
        <w:rPr>
          <w:rFonts w:ascii="宋体" w:hAnsi="宋体" w:eastAsia="宋体" w:cs="宋体"/>
          <w:color w:val="333333"/>
          <w:szCs w:val="21"/>
        </w:rPr>
        <w:t>100000s</w:t>
      </w:r>
      <w:r>
        <w:rPr>
          <w:rFonts w:hint="eastAsia" w:ascii="宋体" w:hAnsi="宋体" w:eastAsia="宋体" w:cs="宋体"/>
          <w:color w:val="333333"/>
          <w:szCs w:val="21"/>
        </w:rPr>
        <w:t>，短时间常数</w:t>
      </w:r>
      <w:r>
        <w:rPr>
          <w:rFonts w:ascii="宋体" w:hAnsi="宋体" w:eastAsia="宋体" w:cs="宋体"/>
          <w:color w:val="333333"/>
          <w:szCs w:val="21"/>
        </w:rPr>
        <w:t>1.3s</w:t>
      </w:r>
      <w:r>
        <w:rPr>
          <w:rFonts w:hint="eastAsia" w:ascii="宋体" w:hAnsi="宋体" w:eastAsia="宋体" w:cs="宋体"/>
          <w:color w:val="333333"/>
          <w:szCs w:val="21"/>
        </w:rPr>
        <w:t>；电荷准静态测量能力：＜</w:t>
      </w:r>
      <w:r>
        <w:rPr>
          <w:rFonts w:ascii="宋体" w:hAnsi="宋体" w:eastAsia="宋体" w:cs="宋体"/>
          <w:color w:val="333333"/>
          <w:szCs w:val="21"/>
        </w:rPr>
        <w:t>0.0000016Hz</w:t>
      </w:r>
      <w:r>
        <w:rPr>
          <w:rFonts w:hint="eastAsia" w:ascii="宋体" w:hAnsi="宋体" w:eastAsia="宋体" w:cs="宋体"/>
          <w:color w:val="333333"/>
          <w:szCs w:val="21"/>
        </w:rPr>
        <w:t>；电荷漂移（准静态时）：≤±</w:t>
      </w:r>
      <w:r>
        <w:rPr>
          <w:rFonts w:ascii="宋体" w:hAnsi="宋体" w:eastAsia="宋体" w:cs="宋体"/>
          <w:color w:val="333333"/>
          <w:szCs w:val="21"/>
        </w:rPr>
        <w:t>0.1pC/s</w:t>
      </w:r>
      <w:r>
        <w:rPr>
          <w:rFonts w:hint="eastAsia" w:ascii="宋体" w:hAnsi="宋体" w:eastAsia="宋体" w:cs="宋体"/>
          <w:color w:val="333333"/>
          <w:szCs w:val="21"/>
        </w:rPr>
        <w:t>；通道间串扰：＜</w:t>
      </w:r>
      <w:r>
        <w:rPr>
          <w:rFonts w:ascii="宋体" w:hAnsi="宋体" w:eastAsia="宋体" w:cs="宋体"/>
          <w:color w:val="333333"/>
          <w:szCs w:val="21"/>
        </w:rPr>
        <w:t>0.5pC</w:t>
      </w:r>
      <w:r>
        <w:rPr>
          <w:rFonts w:hint="eastAsia" w:ascii="宋体" w:hAnsi="宋体" w:eastAsia="宋体" w:cs="宋体"/>
          <w:color w:val="333333"/>
          <w:szCs w:val="21"/>
        </w:rPr>
        <w:t>；输入接口：</w:t>
      </w:r>
      <w:r>
        <w:rPr>
          <w:rFonts w:ascii="宋体" w:hAnsi="宋体" w:eastAsia="宋体" w:cs="宋体"/>
          <w:color w:val="333333"/>
          <w:szCs w:val="21"/>
        </w:rPr>
        <w:t>BNC</w:t>
      </w:r>
      <w:r>
        <w:rPr>
          <w:rFonts w:hint="eastAsia" w:ascii="宋体" w:hAnsi="宋体" w:eastAsia="宋体" w:cs="宋体"/>
          <w:color w:val="333333"/>
          <w:szCs w:val="21"/>
        </w:rPr>
        <w:t>母头；具备数字滤波功能。电荷采集</w:t>
      </w:r>
      <w:r>
        <w:rPr>
          <w:rFonts w:ascii="宋体" w:hAnsi="宋体" w:eastAsia="宋体" w:cs="宋体"/>
          <w:color w:val="333333"/>
          <w:szCs w:val="21"/>
        </w:rPr>
        <w:t>/</w:t>
      </w:r>
      <w:r>
        <w:rPr>
          <w:rFonts w:hint="eastAsia" w:ascii="宋体" w:hAnsi="宋体" w:eastAsia="宋体" w:cs="宋体"/>
          <w:color w:val="333333"/>
          <w:szCs w:val="21"/>
        </w:rPr>
        <w:t>处理系统包含实时电荷数字</w:t>
      </w:r>
      <w:r>
        <w:rPr>
          <w:rFonts w:ascii="宋体" w:hAnsi="宋体" w:eastAsia="宋体" w:cs="宋体"/>
          <w:color w:val="333333"/>
          <w:szCs w:val="21"/>
        </w:rPr>
        <w:t>/</w:t>
      </w:r>
      <w:r>
        <w:rPr>
          <w:rFonts w:hint="eastAsia" w:ascii="宋体" w:hAnsi="宋体" w:eastAsia="宋体" w:cs="宋体"/>
          <w:color w:val="333333"/>
          <w:szCs w:val="21"/>
        </w:rPr>
        <w:t>曲线显示、可对数据进行数学运算、微积分、频谱、数字滤波等，可对曲线进行分割、处理并且导出</w:t>
      </w:r>
      <w:r>
        <w:rPr>
          <w:rFonts w:ascii="宋体" w:hAnsi="宋体" w:eastAsia="宋体" w:cs="宋体"/>
          <w:color w:val="333333"/>
          <w:szCs w:val="21"/>
        </w:rPr>
        <w:t>ascll/excel</w:t>
      </w:r>
      <w:r>
        <w:rPr>
          <w:rFonts w:hint="eastAsia" w:ascii="宋体" w:hAnsi="宋体" w:eastAsia="宋体" w:cs="宋体"/>
          <w:color w:val="333333"/>
          <w:szCs w:val="21"/>
        </w:rPr>
        <w:t>等格式数据。</w:t>
      </w:r>
    </w:p>
    <w:p w14:paraId="1A220262">
      <w:pPr>
        <w:suppressAutoHyphens/>
        <w:spacing w:line="360" w:lineRule="auto"/>
        <w:ind w:left="420"/>
        <w:rPr>
          <w:rFonts w:ascii="宋体" w:hAnsi="宋体" w:eastAsia="宋体" w:cs="宋体"/>
          <w:color w:val="333333"/>
          <w:szCs w:val="21"/>
        </w:rPr>
      </w:pPr>
    </w:p>
    <w:p w14:paraId="25C21D9B">
      <w:pPr>
        <w:adjustRightInd w:val="0"/>
        <w:snapToGrid w:val="0"/>
        <w:spacing w:line="360" w:lineRule="auto"/>
        <w:ind w:firstLine="422" w:firstLineChars="200"/>
        <w:outlineLvl w:val="0"/>
        <w:rPr>
          <w:rFonts w:ascii="宋体" w:hAnsi="宋体" w:eastAsia="宋体" w:cs="宋体"/>
          <w:b/>
          <w:kern w:val="0"/>
          <w:szCs w:val="21"/>
        </w:rPr>
      </w:pPr>
    </w:p>
    <w:p w14:paraId="22F67909">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11、配套数据采集系统</w:t>
      </w:r>
    </w:p>
    <w:p w14:paraId="648E0ACF">
      <w:pPr>
        <w:suppressAutoHyphens/>
        <w:spacing w:line="360" w:lineRule="auto"/>
        <w:ind w:left="420"/>
        <w:rPr>
          <w:rFonts w:ascii="宋体" w:hAnsi="宋体" w:eastAsia="宋体" w:cs="宋体"/>
          <w:color w:val="333333"/>
          <w:szCs w:val="21"/>
        </w:rPr>
      </w:pPr>
      <w:r>
        <w:rPr>
          <w:rFonts w:hint="eastAsia" w:ascii="宋体" w:hAnsi="宋体" w:eastAsia="宋体" w:cs="宋体"/>
          <w:color w:val="333333"/>
          <w:szCs w:val="21"/>
        </w:rPr>
        <w:t>（</w:t>
      </w:r>
      <w:r>
        <w:rPr>
          <w:rFonts w:ascii="宋体" w:hAnsi="宋体" w:eastAsia="宋体" w:cs="宋体"/>
          <w:color w:val="333333"/>
          <w:szCs w:val="21"/>
        </w:rPr>
        <w:t>1</w:t>
      </w:r>
      <w:r>
        <w:rPr>
          <w:rFonts w:hint="eastAsia" w:ascii="宋体" w:hAnsi="宋体" w:eastAsia="宋体" w:cs="宋体"/>
          <w:color w:val="333333"/>
          <w:szCs w:val="21"/>
        </w:rPr>
        <w:t>）数据采集系统通道数：≥</w:t>
      </w:r>
      <w:r>
        <w:rPr>
          <w:rFonts w:ascii="宋体" w:hAnsi="宋体" w:eastAsia="宋体" w:cs="宋体"/>
          <w:color w:val="333333"/>
          <w:szCs w:val="21"/>
        </w:rPr>
        <w:t>128</w:t>
      </w:r>
      <w:r>
        <w:rPr>
          <w:rFonts w:hint="eastAsia" w:ascii="宋体" w:hAnsi="宋体" w:eastAsia="宋体" w:cs="宋体"/>
          <w:color w:val="333333"/>
          <w:szCs w:val="21"/>
        </w:rPr>
        <w:t>通道；连接接口：</w:t>
      </w:r>
      <w:r>
        <w:rPr>
          <w:rFonts w:ascii="宋体" w:hAnsi="宋体" w:eastAsia="宋体" w:cs="宋体"/>
          <w:color w:val="333333"/>
          <w:szCs w:val="21"/>
        </w:rPr>
        <w:t>RJ-45</w:t>
      </w:r>
      <w:r>
        <w:rPr>
          <w:rFonts w:hint="eastAsia" w:ascii="宋体" w:hAnsi="宋体" w:eastAsia="宋体" w:cs="宋体"/>
          <w:color w:val="333333"/>
          <w:szCs w:val="21"/>
        </w:rPr>
        <w:t>；独立站台数：≥</w:t>
      </w:r>
      <w:r>
        <w:rPr>
          <w:rFonts w:ascii="宋体" w:hAnsi="宋体" w:eastAsia="宋体" w:cs="宋体"/>
          <w:color w:val="333333"/>
          <w:szCs w:val="21"/>
        </w:rPr>
        <w:t>4</w:t>
      </w:r>
      <w:r>
        <w:rPr>
          <w:rFonts w:hint="eastAsia" w:ascii="宋体" w:hAnsi="宋体" w:eastAsia="宋体" w:cs="宋体"/>
          <w:color w:val="333333"/>
          <w:szCs w:val="21"/>
        </w:rPr>
        <w:t>；数据采集频率：≥</w:t>
      </w:r>
      <w:r>
        <w:rPr>
          <w:rFonts w:ascii="宋体" w:hAnsi="宋体" w:eastAsia="宋体" w:cs="宋体"/>
          <w:color w:val="333333"/>
          <w:szCs w:val="21"/>
        </w:rPr>
        <w:t>6KHZ</w:t>
      </w:r>
      <w:r>
        <w:rPr>
          <w:rFonts w:hint="eastAsia" w:ascii="宋体" w:hAnsi="宋体" w:eastAsia="宋体" w:cs="宋体"/>
          <w:color w:val="333333"/>
          <w:szCs w:val="21"/>
        </w:rPr>
        <w:t>；具备</w:t>
      </w:r>
      <w:r>
        <w:rPr>
          <w:rFonts w:ascii="宋体" w:hAnsi="宋体" w:eastAsia="宋体" w:cs="宋体"/>
          <w:color w:val="333333"/>
          <w:szCs w:val="21"/>
        </w:rPr>
        <w:t>24</w:t>
      </w:r>
      <w:r>
        <w:rPr>
          <w:rFonts w:hint="eastAsia" w:ascii="宋体" w:hAnsi="宋体" w:eastAsia="宋体" w:cs="宋体"/>
          <w:color w:val="333333"/>
          <w:szCs w:val="21"/>
        </w:rPr>
        <w:t>位</w:t>
      </w:r>
      <w:r>
        <w:rPr>
          <w:rFonts w:ascii="宋体" w:hAnsi="宋体" w:eastAsia="宋体" w:cs="宋体"/>
          <w:color w:val="333333"/>
          <w:szCs w:val="21"/>
        </w:rPr>
        <w:t>A/D</w:t>
      </w:r>
      <w:r>
        <w:rPr>
          <w:rFonts w:hint="eastAsia" w:ascii="宋体" w:hAnsi="宋体" w:eastAsia="宋体" w:cs="宋体"/>
          <w:color w:val="333333"/>
          <w:szCs w:val="21"/>
        </w:rPr>
        <w:t>转换；激励：</w:t>
      </w:r>
      <w:r>
        <w:rPr>
          <w:rFonts w:ascii="宋体" w:hAnsi="宋体" w:eastAsia="宋体" w:cs="宋体"/>
          <w:color w:val="333333"/>
          <w:szCs w:val="21"/>
        </w:rPr>
        <w:t>0.5V, 1V, 2V, 5V, 7.5V, 10V</w:t>
      </w:r>
      <w:r>
        <w:rPr>
          <w:rFonts w:hint="eastAsia" w:ascii="宋体" w:hAnsi="宋体" w:eastAsia="宋体" w:cs="宋体"/>
          <w:color w:val="333333"/>
          <w:szCs w:val="21"/>
        </w:rPr>
        <w:t>；数据采集系统与振动台控制系统可实现实时数据通讯。</w:t>
      </w:r>
    </w:p>
    <w:p w14:paraId="38419E69">
      <w:pPr>
        <w:suppressAutoHyphens/>
        <w:spacing w:line="360" w:lineRule="auto"/>
        <w:ind w:left="420"/>
        <w:rPr>
          <w:rFonts w:ascii="宋体" w:hAnsi="宋体" w:eastAsia="宋体" w:cs="宋体"/>
          <w:color w:val="333333"/>
          <w:szCs w:val="21"/>
        </w:rPr>
      </w:pPr>
    </w:p>
    <w:p w14:paraId="4866FB9C">
      <w:pPr>
        <w:adjustRightInd w:val="0"/>
        <w:snapToGrid w:val="0"/>
        <w:spacing w:line="360" w:lineRule="auto"/>
        <w:ind w:firstLine="422" w:firstLineChars="200"/>
        <w:outlineLvl w:val="0"/>
        <w:rPr>
          <w:rFonts w:ascii="宋体" w:hAnsi="宋体" w:eastAsia="宋体" w:cs="宋体"/>
          <w:b/>
          <w:kern w:val="0"/>
          <w:szCs w:val="21"/>
        </w:rPr>
      </w:pPr>
      <w:r>
        <w:rPr>
          <w:rFonts w:hint="eastAsia" w:ascii="宋体" w:hAnsi="宋体" w:eastAsia="宋体" w:cs="宋体"/>
          <w:b/>
          <w:kern w:val="0"/>
          <w:szCs w:val="21"/>
        </w:rPr>
        <w:t>12、备品备件及工具</w:t>
      </w:r>
    </w:p>
    <w:p w14:paraId="31CF64D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在投标文件中列出备品备件清单，供货时提供一套备品备件，规格数量不少于以下：</w:t>
      </w:r>
    </w:p>
    <w:p w14:paraId="7C5D604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作动器密封元件  4套</w:t>
      </w:r>
    </w:p>
    <w:p w14:paraId="2543768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保险丝 1套</w:t>
      </w:r>
    </w:p>
    <w:p w14:paraId="282636AA">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液压系统滤芯 2套</w:t>
      </w:r>
    </w:p>
    <w:p w14:paraId="5D0BDEA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加速度计 1套</w:t>
      </w:r>
    </w:p>
    <w:p w14:paraId="2B690CFA">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系统安装调试及检修工具 1套。</w:t>
      </w:r>
      <w:bookmarkStart w:id="10" w:name="_Toc491271850"/>
    </w:p>
    <w:p w14:paraId="78238CA9">
      <w:pPr>
        <w:adjustRightInd w:val="0"/>
        <w:snapToGrid w:val="0"/>
        <w:spacing w:line="360" w:lineRule="auto"/>
        <w:rPr>
          <w:rFonts w:ascii="宋体" w:hAnsi="宋体" w:eastAsia="宋体" w:cs="宋体"/>
          <w:b/>
          <w:bCs/>
          <w:szCs w:val="21"/>
        </w:rPr>
      </w:pPr>
      <w:r>
        <w:rPr>
          <w:rFonts w:hint="eastAsia" w:ascii="宋体" w:hAnsi="宋体" w:eastAsia="宋体" w:cs="宋体"/>
          <w:b/>
          <w:szCs w:val="21"/>
        </w:rPr>
        <w:t>★</w:t>
      </w:r>
      <w:r>
        <w:rPr>
          <w:rFonts w:hint="eastAsia" w:ascii="宋体" w:hAnsi="宋体" w:eastAsia="宋体" w:cs="宋体"/>
          <w:b/>
          <w:bCs/>
          <w:szCs w:val="21"/>
        </w:rPr>
        <w:t>（四）系统检验性能指标</w:t>
      </w:r>
      <w:bookmarkEnd w:id="10"/>
    </w:p>
    <w:p w14:paraId="06D8384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szCs w:val="21"/>
        </w:rPr>
        <w:t>加速度噪声电平RMS值≤0.01g。</w:t>
      </w:r>
    </w:p>
    <w:p w14:paraId="2FF4435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szCs w:val="21"/>
        </w:rPr>
        <w:t>在20%和80%额定动载和惯性负载作用下，不采用迭代时，台面各向的加速度波形失真（在工作频率范围内）均小于10%。</w:t>
      </w:r>
    </w:p>
    <w:p w14:paraId="48C7BC3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（3）</w:t>
      </w:r>
      <w:r>
        <w:rPr>
          <w:rFonts w:hint="eastAsia" w:ascii="宋体" w:hAnsi="宋体" w:eastAsia="宋体" w:cs="宋体"/>
          <w:szCs w:val="21"/>
        </w:rPr>
        <w:t>正弦振动（20%和80%额定动载，惯性负载），不采用迭代时，台面各向的位移波形失真度≤5%。</w:t>
      </w:r>
    </w:p>
    <w:p w14:paraId="318B7300">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（4）</w:t>
      </w:r>
      <w:r>
        <w:rPr>
          <w:rFonts w:hint="eastAsia" w:ascii="宋体" w:hAnsi="宋体" w:eastAsia="宋体" w:cs="宋体"/>
          <w:szCs w:val="21"/>
        </w:rPr>
        <w:t>在振动台面上主振方向加速度不均匀度，任意三点相互差值≤10%（空台）。</w:t>
      </w:r>
    </w:p>
    <w:p w14:paraId="4DC7A09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（5）在正弦扫描下，没有迭代补偿的振幅数据和给定值误差</w:t>
      </w:r>
      <w:r>
        <w:rPr>
          <w:rFonts w:hint="eastAsia" w:ascii="宋体" w:hAnsi="宋体" w:eastAsia="宋体" w:cs="宋体"/>
          <w:szCs w:val="21"/>
        </w:rPr>
        <w:t>≤</w:t>
      </w:r>
      <w:r>
        <w:rPr>
          <w:rFonts w:hint="eastAsia" w:ascii="宋体" w:hAnsi="宋体" w:eastAsia="宋体" w:cs="宋体"/>
          <w:kern w:val="0"/>
          <w:szCs w:val="21"/>
        </w:rPr>
        <w:t>10%，迭代补偿后的误差小于5%（惯性负载）。</w:t>
      </w:r>
    </w:p>
    <w:p w14:paraId="7E698A29">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（6）反应谱包络误差：在采购人和中标人认可的弹性负载作用下，振动台台面输出的试验加速度反应谱曲线（TRS）与要求（振动台输入）反应谱曲线（RRS）包络误差：在不迭代时，</w:t>
      </w:r>
      <w:r>
        <w:rPr>
          <w:rFonts w:hint="eastAsia" w:ascii="宋体" w:hAnsi="宋体" w:eastAsia="宋体" w:cs="宋体"/>
          <w:szCs w:val="21"/>
        </w:rPr>
        <w:t>≤</w:t>
      </w:r>
      <w:r>
        <w:rPr>
          <w:rFonts w:hint="eastAsia" w:ascii="宋体" w:hAnsi="宋体" w:eastAsia="宋体" w:cs="宋体"/>
          <w:kern w:val="0"/>
          <w:szCs w:val="21"/>
        </w:rPr>
        <w:t>10%；迭代后（在一般情况下迭代次数≤3次）不允许下包，且二者面积比≤110%。</w:t>
      </w:r>
    </w:p>
    <w:p w14:paraId="31E65303">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（7）</w:t>
      </w:r>
      <w:r>
        <w:rPr>
          <w:rFonts w:hint="eastAsia" w:ascii="宋体" w:hAnsi="宋体" w:eastAsia="宋体" w:cs="宋体"/>
          <w:szCs w:val="21"/>
        </w:rPr>
        <w:t>功率谱再现精度（PSD）：在双方认可的弹性负载条件下：不迭代时，要求（振动台输入）功率谱（RPSD）与振动台台面输出的试验功率谱（TPSD）的面积比≥80%，迭代（在一般情况下迭代次数≤3次）后，≥95%。</w:t>
      </w:r>
    </w:p>
    <w:p w14:paraId="6C0B6757">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（8）</w:t>
      </w:r>
      <w:r>
        <w:rPr>
          <w:rFonts w:hint="eastAsia" w:ascii="宋体" w:hAnsi="宋体" w:eastAsia="宋体" w:cs="宋体"/>
          <w:szCs w:val="21"/>
        </w:rPr>
        <w:t>地震波再现精度：在惯性负载和双方认可的弹性负载作用下，在迭代前最大的幅值误差小于15%，相关系数大于85%；2次迭代后幅值误差小于5%，相关系数大于95%。</w:t>
      </w:r>
    </w:p>
    <w:p w14:paraId="0C8858D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（9）</w:t>
      </w:r>
      <w:r>
        <w:rPr>
          <w:rFonts w:hint="eastAsia" w:ascii="宋体" w:hAnsi="宋体" w:eastAsia="宋体" w:cs="宋体"/>
          <w:szCs w:val="21"/>
        </w:rPr>
        <w:t>频率控制精度：在0.1～50Hz范围内以80%的额定加速度振动，各种波形的频率控制误差≤0.5%（惯性负载）。</w:t>
      </w:r>
    </w:p>
    <w:p w14:paraId="65C5CB4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（10）</w:t>
      </w:r>
      <w:r>
        <w:rPr>
          <w:rFonts w:hint="eastAsia" w:ascii="宋体" w:hAnsi="宋体" w:eastAsia="宋体" w:cs="宋体"/>
          <w:szCs w:val="21"/>
        </w:rPr>
        <w:t>连续运行性能：在正弦振动时，在30分钟内加速度幅值偏移误差&lt;2%（惯性负载）.</w:t>
      </w:r>
    </w:p>
    <w:p w14:paraId="70138CE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（11）</w:t>
      </w:r>
      <w:r>
        <w:rPr>
          <w:rFonts w:hint="eastAsia" w:ascii="宋体" w:hAnsi="宋体" w:eastAsia="宋体" w:cs="宋体"/>
          <w:szCs w:val="21"/>
        </w:rPr>
        <w:t>系统响应曲线：在使用频率范围内，系统加速度频率响应曲线不均匀度≤±1.5db（惯性负载）（经AIC—Adaptive inverse control、OLI—On line iteration）。不经AIC、OLI控制在≤±3.0db（惯性负载）。</w:t>
      </w:r>
    </w:p>
    <w:p w14:paraId="391233CB">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w:t>
      </w:r>
      <w:r>
        <w:rPr>
          <w:rFonts w:hint="eastAsia" w:ascii="宋体" w:hAnsi="宋体" w:eastAsia="宋体" w:cs="宋体"/>
          <w:kern w:val="0"/>
          <w:szCs w:val="21"/>
        </w:rPr>
        <w:tab/>
      </w:r>
      <w:r>
        <w:rPr>
          <w:rFonts w:hint="eastAsia" w:ascii="宋体" w:hAnsi="宋体" w:eastAsia="宋体" w:cs="宋体"/>
          <w:kern w:val="0"/>
          <w:szCs w:val="21"/>
        </w:rPr>
        <w:t>冲击加速度：系统必须具备软启动功能，启动时各向冲击加速度峰值≤0.05g（空台，惯性负载）。</w:t>
      </w:r>
    </w:p>
    <w:p w14:paraId="0A59C88B">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（13）激励波强度：系统传递函数确定时的工作荷载下激励波（白噪声）幅值强度&lt;0.1g；设备试验（非结构试验）构件的模态确定时，采用的激励波（白噪声）强度&lt;0.15g。</w:t>
      </w:r>
    </w:p>
    <w:p w14:paraId="316F2F26">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（14）系统各向最大功能曲线检验（30%惯性负载和最大惯性负载），应满足要求。</w:t>
      </w:r>
    </w:p>
    <w:p w14:paraId="1170968E">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（15）振动台系统连续工作时间≥8小时。</w:t>
      </w:r>
    </w:p>
    <w:p w14:paraId="274C7F95">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（16）</w:t>
      </w:r>
      <w:r>
        <w:rPr>
          <w:rFonts w:hint="eastAsia" w:ascii="宋体" w:hAnsi="宋体" w:eastAsia="宋体" w:cs="宋体"/>
          <w:szCs w:val="21"/>
        </w:rPr>
        <w:t>系统单向最大功能曲线检验（惯性负载下）应满足最大位移、最大速度和最大加速度性能指标。</w:t>
      </w:r>
    </w:p>
    <w:p w14:paraId="3CC7413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（17）</w:t>
      </w:r>
      <w:r>
        <w:rPr>
          <w:rFonts w:hint="eastAsia" w:ascii="宋体" w:hAnsi="宋体" w:eastAsia="宋体" w:cs="宋体"/>
          <w:szCs w:val="21"/>
        </w:rPr>
        <w:t>运动重复性检验：以迭代后满足精度要求的驱动信号在24小时后再次驱动振动台系统，响应信号仍然需要满足精度要求。</w:t>
      </w:r>
    </w:p>
    <w:p w14:paraId="431E66E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（18）</w:t>
      </w:r>
      <w:r>
        <w:rPr>
          <w:rFonts w:hint="eastAsia" w:ascii="宋体" w:hAnsi="宋体" w:eastAsia="宋体" w:cs="宋体"/>
          <w:szCs w:val="21"/>
        </w:rPr>
        <w:t>控制系统应能够为外部数据采集系统提供一路同步信号（即兼容外部数采并同时触发采样）。</w:t>
      </w:r>
    </w:p>
    <w:p w14:paraId="005F5A8F">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（19）液压系统与试验室现有液压动力源兼容性验收。</w:t>
      </w:r>
    </w:p>
    <w:p w14:paraId="6521C5DC">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（20）液压硬管路系统与试验室现有液压硬管路兼容性验收。</w:t>
      </w:r>
    </w:p>
    <w:p w14:paraId="5BB085AD">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（21）与试验室现有拟动力试验系统控制系统兼容性验收。</w:t>
      </w:r>
    </w:p>
    <w:p w14:paraId="1E0536A2">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（22）最大模型质量验证：≥20ton（所有工作频段范围内）</w:t>
      </w:r>
    </w:p>
    <w:p w14:paraId="490DB733">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（23）工作频段验证：0.1～50Hz</w:t>
      </w:r>
    </w:p>
    <w:p w14:paraId="2E39EAE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（24）满载最大加速度验证：X/Y：1.5g；Z：1.3g</w:t>
      </w:r>
    </w:p>
    <w:p w14:paraId="7EF595C7">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（25）正弦波振动最大速度验证：X/Y：1.5m/s；Z：1m/s</w:t>
      </w:r>
    </w:p>
    <w:p w14:paraId="2E7FE8C8">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26</w:t>
      </w:r>
      <w:r>
        <w:rPr>
          <w:rFonts w:hint="eastAsia" w:ascii="宋体" w:hAnsi="宋体" w:eastAsia="宋体" w:cs="宋体"/>
          <w:kern w:val="0"/>
          <w:szCs w:val="21"/>
        </w:rPr>
        <w:t>）允许不小于</w:t>
      </w:r>
      <w:r>
        <w:rPr>
          <w:rFonts w:ascii="宋体" w:hAnsi="宋体" w:eastAsia="宋体" w:cs="宋体"/>
          <w:kern w:val="0"/>
          <w:szCs w:val="21"/>
        </w:rPr>
        <w:t>20%</w:t>
      </w:r>
      <w:r>
        <w:rPr>
          <w:rFonts w:hint="eastAsia" w:ascii="宋体" w:hAnsi="宋体" w:eastAsia="宋体" w:cs="宋体"/>
          <w:kern w:val="0"/>
          <w:szCs w:val="21"/>
        </w:rPr>
        <w:t>的过载能力</w:t>
      </w:r>
    </w:p>
    <w:p w14:paraId="7C12134C">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（27）最大位移验证：X/Y：±0.3m；Z：±0.25m</w:t>
      </w:r>
    </w:p>
    <w:p w14:paraId="5C7B5839">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28</w:t>
      </w:r>
      <w:r>
        <w:rPr>
          <w:rFonts w:hint="eastAsia" w:ascii="宋体" w:hAnsi="宋体" w:eastAsia="宋体" w:cs="宋体"/>
          <w:kern w:val="0"/>
          <w:szCs w:val="21"/>
        </w:rPr>
        <w:t>）台面空载</w:t>
      </w:r>
      <w:r>
        <w:rPr>
          <w:rFonts w:ascii="宋体" w:hAnsi="宋体" w:eastAsia="宋体" w:cs="宋体"/>
          <w:kern w:val="0"/>
          <w:szCs w:val="21"/>
        </w:rPr>
        <w:t>最大加速度</w:t>
      </w:r>
      <w:r>
        <w:rPr>
          <w:rFonts w:hint="eastAsia" w:ascii="宋体" w:hAnsi="宋体" w:eastAsia="宋体" w:cs="宋体"/>
          <w:kern w:val="0"/>
          <w:szCs w:val="21"/>
        </w:rPr>
        <w:t>验证</w:t>
      </w:r>
      <w:r>
        <w:rPr>
          <w:rFonts w:ascii="宋体" w:hAnsi="宋体" w:eastAsia="宋体" w:cs="宋体"/>
          <w:kern w:val="0"/>
          <w:szCs w:val="21"/>
        </w:rPr>
        <w:t>：X/Y：≥3g；Z：≥2.5g</w:t>
      </w:r>
    </w:p>
    <w:p w14:paraId="1C60FD0D"/>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13"/>
    <w:rsid w:val="00317162"/>
    <w:rsid w:val="00502670"/>
    <w:rsid w:val="00951213"/>
    <w:rsid w:val="00D53841"/>
    <w:rsid w:val="00EB5585"/>
    <w:rsid w:val="040079E9"/>
    <w:rsid w:val="45B6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5">
    <w:name w:val="Heading 1 Char"/>
    <w:basedOn w:val="14"/>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4"/>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4"/>
    <w:link w:val="4"/>
    <w:semiHidden/>
    <w:uiPriority w:val="9"/>
    <w:rPr>
      <w:rFonts w:eastAsiaTheme="majorEastAsia" w:cstheme="majorBidi"/>
      <w:color w:val="104862" w:themeColor="accent1" w:themeShade="BF"/>
      <w:sz w:val="28"/>
      <w:szCs w:val="28"/>
    </w:rPr>
  </w:style>
  <w:style w:type="character" w:customStyle="1" w:styleId="18">
    <w:name w:val="Heading 4 Char"/>
    <w:basedOn w:val="14"/>
    <w:link w:val="5"/>
    <w:semiHidden/>
    <w:uiPriority w:val="9"/>
    <w:rPr>
      <w:rFonts w:eastAsiaTheme="majorEastAsia" w:cstheme="majorBidi"/>
      <w:i/>
      <w:iCs/>
      <w:color w:val="104862" w:themeColor="accent1" w:themeShade="BF"/>
    </w:rPr>
  </w:style>
  <w:style w:type="character" w:customStyle="1" w:styleId="19">
    <w:name w:val="Heading 5 Char"/>
    <w:basedOn w:val="14"/>
    <w:link w:val="6"/>
    <w:semiHidden/>
    <w:qFormat/>
    <w:uiPriority w:val="9"/>
    <w:rPr>
      <w:rFonts w:eastAsiaTheme="majorEastAsia" w:cstheme="majorBidi"/>
      <w:color w:val="104862" w:themeColor="accent1" w:themeShade="BF"/>
    </w:rPr>
  </w:style>
  <w:style w:type="character" w:customStyle="1" w:styleId="20">
    <w:name w:val="Heading 6 Char"/>
    <w:basedOn w:val="14"/>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4"/>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4"/>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4"/>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4"/>
    <w:link w:val="12"/>
    <w:uiPriority w:val="10"/>
    <w:rPr>
      <w:rFonts w:asciiTheme="majorHAnsi" w:hAnsiTheme="majorHAnsi" w:eastAsiaTheme="majorEastAsia" w:cstheme="majorBidi"/>
      <w:spacing w:val="-10"/>
      <w:kern w:val="28"/>
      <w:sz w:val="56"/>
      <w:szCs w:val="56"/>
    </w:rPr>
  </w:style>
  <w:style w:type="character" w:customStyle="1" w:styleId="25">
    <w:name w:val="Subtitle Char"/>
    <w:basedOn w:val="14"/>
    <w:link w:val="11"/>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 w:type="paragraph" w:customStyle="1" w:styleId="33">
    <w:name w:val="null3"/>
    <w:hidden/>
    <w:qFormat/>
    <w:uiPriority w:val="0"/>
    <w:pPr>
      <w:spacing w:after="0" w:line="240" w:lineRule="auto"/>
    </w:pPr>
    <w:rPr>
      <w:rFonts w:hint="eastAsia" w:asciiTheme="minorHAnsi" w:hAnsiTheme="minorHAnsi" w:eastAsiaTheme="minorEastAsia" w:cstheme="minorBidi"/>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MTS Systems</Company>
  <Pages>10</Pages>
  <Words>1373</Words>
  <Characters>1454</Characters>
  <Lines>69</Lines>
  <Paragraphs>19</Paragraphs>
  <TotalTime>0</TotalTime>
  <ScaleCrop>false</ScaleCrop>
  <LinksUpToDate>false</LinksUpToDate>
  <CharactersWithSpaces>1456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2024-12-13T08:07:00Z</dcterms:created>
  <dc:creator>Sun, Ken</dc:creator>
  <cp:lastModifiedBy>GHOST</cp:lastModifiedBy>
  <dcterms:modified xsi:type="dcterms:W3CDTF">2024-12-13T08:28:54Z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97E7FB06BD0E4AFC96566C0AD660C0FE_12</vt:lpwstr>
  </property>
</Properties>
</file>