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0758A">
      <w:pPr>
        <w:keepNext/>
        <w:spacing w:before="240" w:after="60" w:line="360" w:lineRule="auto"/>
        <w:jc w:val="left"/>
        <w:outlineLvl w:val="0"/>
        <w:rPr>
          <w:rFonts w:hint="eastAsia" w:ascii="宋体" w:hAnsi="宋体" w:eastAsia="宋体" w:cs="宋体"/>
          <w:b/>
          <w:bCs/>
          <w:color w:val="000000" w:themeColor="text1"/>
          <w:w w:val="105"/>
          <w:kern w:val="32"/>
          <w:sz w:val="36"/>
          <w:szCs w:val="32"/>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附件：</w:t>
      </w:r>
    </w:p>
    <w:p w14:paraId="62CDB83D">
      <w:pPr>
        <w:keepNext/>
        <w:spacing w:before="240" w:after="60" w:line="360" w:lineRule="auto"/>
        <w:jc w:val="center"/>
        <w:outlineLvl w:val="0"/>
        <w:rPr>
          <w:rFonts w:hint="eastAsia" w:ascii="宋体" w:hAnsi="宋体" w:eastAsia="宋体" w:cs="宋体"/>
          <w:b/>
          <w:bCs/>
          <w:color w:val="000000" w:themeColor="text1"/>
          <w:w w:val="105"/>
          <w:kern w:val="32"/>
          <w:sz w:val="30"/>
          <w:szCs w:val="30"/>
          <w:highlight w:val="none"/>
          <w14:textFill>
            <w14:solidFill>
              <w14:schemeClr w14:val="tx1"/>
            </w14:solidFill>
          </w14:textFill>
        </w:rPr>
      </w:pPr>
      <w:r>
        <w:rPr>
          <w:rFonts w:hint="eastAsia" w:ascii="宋体" w:hAnsi="宋体" w:eastAsia="宋体" w:cs="宋体"/>
          <w:b/>
          <w:bCs/>
          <w:color w:val="000000" w:themeColor="text1"/>
          <w:w w:val="105"/>
          <w:kern w:val="32"/>
          <w:sz w:val="30"/>
          <w:szCs w:val="30"/>
          <w:highlight w:val="none"/>
          <w14:textFill>
            <w14:solidFill>
              <w14:schemeClr w14:val="tx1"/>
            </w14:solidFill>
          </w14:textFill>
        </w:rPr>
        <w:t>瞬态-稳态光谱仪技术参数与配置</w:t>
      </w:r>
    </w:p>
    <w:p w14:paraId="5C8DEEFF">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1.光学系统结构: L型光路，搭载光源及探测器、光栅等光学元件，实现全光谱范围内的高光谱检测效率； </w:t>
      </w:r>
    </w:p>
    <w:p w14:paraId="61E1A084">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2.光源</w:t>
      </w:r>
    </w:p>
    <w:p w14:paraId="0E9E0149">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2.1 复合光源及分光系统: </w:t>
      </w:r>
    </w:p>
    <w:p w14:paraId="3C4F46C9">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★2.1.1 除臭氧氙灯，可以显示功率、电压、电流和使用时间，功率≥450W；</w:t>
      </w:r>
      <w:r>
        <w:rPr>
          <w:rFonts w:hint="eastAsia" w:ascii="仿宋" w:hAnsi="仿宋" w:eastAsia="仿宋" w:cs="仿宋"/>
          <w:b/>
          <w:bCs/>
          <w:color w:val="000000" w:themeColor="text1"/>
          <w:sz w:val="24"/>
          <w:szCs w:val="24"/>
          <w:highlight w:val="none"/>
          <w14:textFill>
            <w14:solidFill>
              <w14:schemeClr w14:val="tx1"/>
            </w14:solidFill>
          </w14:textFill>
        </w:rPr>
        <w:t>（</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需提供</w:t>
      </w:r>
      <w:r>
        <w:rPr>
          <w:rFonts w:hint="eastAsia" w:ascii="仿宋" w:hAnsi="仿宋" w:eastAsia="仿宋" w:cs="仿宋"/>
          <w:b/>
          <w:bCs/>
          <w:color w:val="000000" w:themeColor="text1"/>
          <w:sz w:val="24"/>
          <w:szCs w:val="24"/>
          <w:highlight w:val="none"/>
          <w14:textFill>
            <w14:solidFill>
              <w14:schemeClr w14:val="tx1"/>
            </w14:solidFill>
          </w14:textFill>
        </w:rPr>
        <w:t>产品彩页作为佐证，证明材料所描述产品的品牌、规格、型号必须与投标产品一致。）</w:t>
      </w:r>
    </w:p>
    <w:p w14:paraId="543411B1">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2.1.2</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高能量脉冲氙灯，光谱脉宽1.5到2.5μs，平均能量≥60W，重复频率：0.1</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 xml:space="preserve">100Hz； </w:t>
      </w:r>
    </w:p>
    <w:p w14:paraId="655F80C3">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2.1.3</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单色器为对称型Czerny-Turne结构，焦距：≥325mm； </w:t>
      </w:r>
    </w:p>
    <w:p w14:paraId="14F1BF12">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2.1.4</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带宽：0-30nm； </w:t>
      </w:r>
    </w:p>
    <w:p w14:paraId="706B95BB">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2.1.5</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波长准确度：±0.2nm；</w:t>
      </w:r>
    </w:p>
    <w:p w14:paraId="4C46B6CB">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2.1.6</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波长重复性：±0.1nm； </w:t>
      </w:r>
    </w:p>
    <w:p w14:paraId="681FBF25">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2.1.7</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最小步进：0.01nm； </w:t>
      </w:r>
    </w:p>
    <w:p w14:paraId="00F15145">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▲2.1.8</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激发单色器内置软件控制电动滤光片轮消除高级衍射光；</w:t>
      </w:r>
      <w:r>
        <w:rPr>
          <w:rFonts w:hint="eastAsia" w:ascii="仿宋" w:hAnsi="仿宋" w:eastAsia="仿宋" w:cs="仿宋"/>
          <w:b/>
          <w:bCs/>
          <w:color w:val="000000" w:themeColor="text1"/>
          <w:sz w:val="24"/>
          <w:szCs w:val="24"/>
          <w:highlight w:val="none"/>
          <w14:textFill>
            <w14:solidFill>
              <w14:schemeClr w14:val="tx1"/>
            </w14:solidFill>
          </w14:textFill>
        </w:rPr>
        <w:t xml:space="preserve">（需提供产品彩页作为佐证，证明材料所描述产品的品牌、规格、型号必须与投标产品一致。） </w:t>
      </w:r>
    </w:p>
    <w:p w14:paraId="448AEF9F">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2.2 脉冲激光器：375nm脉冲激光器，重复频率20MHz-20KHz，脉宽≤70ps ；</w:t>
      </w:r>
    </w:p>
    <w:p w14:paraId="52C4FBFA">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▲2.3 要求所有光源的切换和选择，均实现一键选择；</w:t>
      </w:r>
      <w:r>
        <w:rPr>
          <w:rFonts w:hint="eastAsia" w:ascii="仿宋" w:hAnsi="仿宋" w:eastAsia="仿宋" w:cs="仿宋"/>
          <w:b/>
          <w:bCs/>
          <w:color w:val="000000" w:themeColor="text1"/>
          <w:sz w:val="24"/>
          <w:szCs w:val="24"/>
          <w:highlight w:val="none"/>
          <w14:textFill>
            <w14:solidFill>
              <w14:schemeClr w14:val="tx1"/>
            </w14:solidFill>
          </w14:textFill>
        </w:rPr>
        <w:t>（需提供产品彩页作为佐证，证明材料所描述产品的品牌、规格、型号必须与投标产品一致。）</w:t>
      </w:r>
    </w:p>
    <w:p w14:paraId="6D0EF3AD">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3.信噪比：≥35,000:1，水拉曼峰测试，激发波长350nm，狭缝5nm，积分时间1s，计算公式为S/N=(I</w:t>
      </w:r>
      <w:r>
        <w:rPr>
          <w:rFonts w:hint="eastAsia" w:ascii="仿宋" w:hAnsi="仿宋" w:eastAsia="仿宋" w:cs="仿宋"/>
          <w:color w:val="000000" w:themeColor="text1"/>
          <w:sz w:val="24"/>
          <w:szCs w:val="24"/>
          <w:highlight w:val="none"/>
          <w:vertAlign w:val="subscript"/>
          <w14:textFill>
            <w14:solidFill>
              <w14:schemeClr w14:val="tx1"/>
            </w14:solidFill>
          </w14:textFill>
        </w:rPr>
        <w:t>397</w:t>
      </w:r>
      <w:r>
        <w:rPr>
          <w:rFonts w:hint="eastAsia" w:ascii="仿宋" w:hAnsi="仿宋" w:eastAsia="仿宋" w:cs="仿宋"/>
          <w:color w:val="000000" w:themeColor="text1"/>
          <w:sz w:val="24"/>
          <w:szCs w:val="24"/>
          <w:highlight w:val="none"/>
          <w14:textFill>
            <w14:solidFill>
              <w14:schemeClr w14:val="tx1"/>
            </w14:solidFill>
          </w14:textFill>
        </w:rPr>
        <w:t>-I</w:t>
      </w:r>
      <w:r>
        <w:rPr>
          <w:rFonts w:hint="eastAsia" w:ascii="仿宋" w:hAnsi="仿宋" w:eastAsia="仿宋" w:cs="仿宋"/>
          <w:color w:val="000000" w:themeColor="text1"/>
          <w:sz w:val="24"/>
          <w:szCs w:val="24"/>
          <w:highlight w:val="none"/>
          <w:vertAlign w:val="subscript"/>
          <w14:textFill>
            <w14:solidFill>
              <w14:schemeClr w14:val="tx1"/>
            </w14:solidFill>
          </w14:textFill>
        </w:rPr>
        <w:t>450</w:t>
      </w:r>
      <w:r>
        <w:rPr>
          <w:rFonts w:hint="eastAsia" w:ascii="仿宋" w:hAnsi="仿宋" w:eastAsia="仿宋" w:cs="仿宋"/>
          <w:color w:val="000000" w:themeColor="text1"/>
          <w:sz w:val="24"/>
          <w:szCs w:val="24"/>
          <w:highlight w:val="none"/>
          <w14:textFill>
            <w14:solidFill>
              <w14:schemeClr w14:val="tx1"/>
            </w14:solidFill>
          </w14:textFill>
        </w:rPr>
        <w:t>)/I</w:t>
      </w:r>
      <w:r>
        <w:rPr>
          <w:rFonts w:hint="eastAsia" w:ascii="仿宋" w:hAnsi="仿宋" w:eastAsia="仿宋" w:cs="仿宋"/>
          <w:color w:val="000000" w:themeColor="text1"/>
          <w:sz w:val="24"/>
          <w:szCs w:val="24"/>
          <w:highlight w:val="none"/>
          <w:vertAlign w:val="subscript"/>
          <w14:textFill>
            <w14:solidFill>
              <w14:schemeClr w14:val="tx1"/>
            </w14:solidFill>
          </w14:textFill>
        </w:rPr>
        <w:t>450</w:t>
      </w:r>
      <w:r>
        <w:rPr>
          <w:rFonts w:hint="eastAsia" w:ascii="仿宋" w:hAnsi="仿宋" w:eastAsia="仿宋" w:cs="仿宋"/>
          <w:color w:val="000000" w:themeColor="text1"/>
          <w:sz w:val="24"/>
          <w:szCs w:val="24"/>
          <w:highlight w:val="none"/>
          <w:vertAlign w:val="superscript"/>
          <w14:textFill>
            <w14:solidFill>
              <w14:schemeClr w14:val="tx1"/>
            </w14:solidFill>
          </w14:textFill>
        </w:rPr>
        <w:t>1/2</w:t>
      </w:r>
      <w:r>
        <w:rPr>
          <w:rFonts w:hint="eastAsia" w:ascii="仿宋" w:hAnsi="仿宋" w:eastAsia="仿宋" w:cs="仿宋"/>
          <w:color w:val="000000" w:themeColor="text1"/>
          <w:sz w:val="24"/>
          <w:szCs w:val="24"/>
          <w:highlight w:val="none"/>
          <w14:textFill>
            <w14:solidFill>
              <w14:schemeClr w14:val="tx1"/>
            </w14:solidFill>
          </w14:textFill>
        </w:rPr>
        <w:t>;</w:t>
      </w:r>
    </w:p>
    <w:p w14:paraId="3A3F00EE">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 探测器及其分光系统</w:t>
      </w:r>
    </w:p>
    <w:p w14:paraId="4B59A8AB">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探测器：紫外可见单光子计数光电倍增管； </w:t>
      </w:r>
    </w:p>
    <w:p w14:paraId="3C83DCDD">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4.1.1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光谱范围：200nm</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 xml:space="preserve">900nm； </w:t>
      </w:r>
    </w:p>
    <w:p w14:paraId="715D73E5">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4.1.2</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半导体制冷模块，工作温度：-20℃；</w:t>
      </w:r>
    </w:p>
    <w:p w14:paraId="47D0C9EE">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3 </w:t>
      </w:r>
      <w:r>
        <w:rPr>
          <w:rFonts w:hint="eastAsia" w:ascii="仿宋" w:hAnsi="仿宋" w:eastAsia="仿宋" w:cs="仿宋"/>
          <w:color w:val="000000" w:themeColor="text1"/>
          <w:sz w:val="24"/>
          <w:szCs w:val="24"/>
          <w:highlight w:val="none"/>
          <w14:textFill>
            <w14:solidFill>
              <w14:schemeClr w14:val="tx1"/>
            </w14:solidFill>
          </w14:textFill>
        </w:rPr>
        <w:t>暗计数：≤50cps；</w:t>
      </w:r>
    </w:p>
    <w:p w14:paraId="66BD5CE4">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 分光系统</w:t>
      </w:r>
    </w:p>
    <w:p w14:paraId="21390EF1">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单色器为对称型Czerny-Turne结构，焦距：≥325mm；  </w:t>
      </w:r>
    </w:p>
    <w:p w14:paraId="25ACD176">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4.2.2</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带宽：0-30nm； </w:t>
      </w:r>
    </w:p>
    <w:p w14:paraId="759639A0">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4.2.3</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波长准确度：±0.2nm；</w:t>
      </w:r>
    </w:p>
    <w:p w14:paraId="5FEF17B2">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4.2.4</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波长重复性：±0.1nm； </w:t>
      </w:r>
    </w:p>
    <w:p w14:paraId="3D03CCEE">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4.2.5</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最小步进：0.01nm； </w:t>
      </w:r>
    </w:p>
    <w:p w14:paraId="25DD054A">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▲4.2.6</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发射单色器内置软件控制电动滤光片轮消除高级衍射光；</w:t>
      </w:r>
      <w:r>
        <w:rPr>
          <w:rFonts w:hint="eastAsia" w:ascii="仿宋" w:hAnsi="仿宋" w:eastAsia="仿宋" w:cs="仿宋"/>
          <w:b/>
          <w:bCs/>
          <w:color w:val="000000" w:themeColor="text1"/>
          <w:sz w:val="24"/>
          <w:szCs w:val="24"/>
          <w:highlight w:val="none"/>
          <w14:textFill>
            <w14:solidFill>
              <w14:schemeClr w14:val="tx1"/>
            </w14:solidFill>
          </w14:textFill>
        </w:rPr>
        <w:t>（需提供产品彩页作为佐证，证明材料所描述产品的品牌、规格、型号必须与投标产品一致。）</w:t>
      </w:r>
    </w:p>
    <w:p w14:paraId="74241BDC">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 数据采集软件系统 ：</w:t>
      </w:r>
    </w:p>
    <w:p w14:paraId="446F8975">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 xml:space="preserve">5.1 集成单光子计数（SPC）、时间相关单光子计数（TCSPC）测量、多通道单光子计数（MCS）、模拟信号测量； </w:t>
      </w:r>
    </w:p>
    <w:p w14:paraId="4AEBAB4E">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5.2 寿命测试范围</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100ps</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10s；</w:t>
      </w:r>
    </w:p>
    <w:p w14:paraId="57F39366">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★5.3 荧光寿命测试模块：荧光寿命最小时间分辨率：≤310fs，以最小时间窗口除以最大通道数计算</w:t>
      </w:r>
      <w:r>
        <w:rPr>
          <w:rFonts w:hint="eastAsia" w:ascii="仿宋" w:hAnsi="仿宋" w:eastAsia="仿宋" w:cs="仿宋"/>
          <w:b/>
          <w:bCs/>
          <w:color w:val="000000" w:themeColor="text1"/>
          <w:sz w:val="24"/>
          <w:szCs w:val="24"/>
          <w:highlight w:val="none"/>
          <w14:textFill>
            <w14:solidFill>
              <w14:schemeClr w14:val="tx1"/>
            </w14:solidFill>
          </w14:textFill>
        </w:rPr>
        <w:t>（须提供软件设置界面截图</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和</w:t>
      </w:r>
      <w:r>
        <w:rPr>
          <w:rFonts w:hint="eastAsia" w:ascii="仿宋" w:hAnsi="仿宋" w:eastAsia="仿宋" w:cs="仿宋"/>
          <w:b/>
          <w:bCs/>
          <w:color w:val="000000" w:themeColor="text1"/>
          <w:sz w:val="24"/>
          <w:szCs w:val="24"/>
          <w:highlight w:val="none"/>
          <w14:textFill>
            <w14:solidFill>
              <w14:schemeClr w14:val="tx1"/>
            </w14:solidFill>
          </w14:textFill>
        </w:rPr>
        <w:t>产品彩页作为佐证，</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彩页</w:t>
      </w:r>
      <w:r>
        <w:rPr>
          <w:rFonts w:hint="eastAsia" w:ascii="仿宋" w:hAnsi="仿宋" w:eastAsia="仿宋" w:cs="仿宋"/>
          <w:b/>
          <w:bCs/>
          <w:color w:val="000000" w:themeColor="text1"/>
          <w:sz w:val="24"/>
          <w:szCs w:val="24"/>
          <w:highlight w:val="none"/>
          <w14:textFill>
            <w14:solidFill>
              <w14:schemeClr w14:val="tx1"/>
            </w14:solidFill>
          </w14:textFill>
        </w:rPr>
        <w:t>证明材料所描述产品的品牌、规格、型号必须与投标产品一致。）</w:t>
      </w:r>
    </w:p>
    <w:p w14:paraId="7C8DBE23">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b/>
          <w:bCs/>
          <w:color w:val="000000" w:themeColor="text1"/>
          <w:sz w:val="24"/>
          <w:szCs w:val="24"/>
          <w:highlight w:val="none"/>
          <w14:textFill>
            <w14:solidFill>
              <w14:schemeClr w14:val="tx1"/>
            </w14:solidFill>
          </w14:textFill>
        </w:rPr>
      </w:pPr>
      <w:bookmarkStart w:id="1" w:name="_GoBack"/>
      <w:r>
        <w:rPr>
          <w:rFonts w:hint="eastAsia" w:ascii="仿宋" w:hAnsi="仿宋" w:eastAsia="仿宋" w:cs="仿宋"/>
          <w:color w:val="000000" w:themeColor="text1"/>
          <w:sz w:val="24"/>
          <w:szCs w:val="24"/>
          <w:highlight w:val="none"/>
          <w14:textFill>
            <w14:solidFill>
              <w14:schemeClr w14:val="tx1"/>
            </w14:solidFill>
          </w14:textFill>
        </w:rPr>
        <w:t>★</w:t>
      </w:r>
      <w:bookmarkEnd w:id="1"/>
      <w:r>
        <w:rPr>
          <w:rFonts w:hint="eastAsia" w:ascii="仿宋" w:hAnsi="仿宋" w:eastAsia="仿宋" w:cs="仿宋"/>
          <w:color w:val="000000" w:themeColor="text1"/>
          <w:sz w:val="24"/>
          <w:szCs w:val="24"/>
          <w:highlight w:val="none"/>
          <w14:textFill>
            <w14:solidFill>
              <w14:schemeClr w14:val="tx1"/>
            </w14:solidFill>
          </w14:textFill>
        </w:rPr>
        <w:t>5.4</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磷光寿命测试模块：磷光寿命最小时间分辨率：≤10ns，以最小时间窗口除以最大通道数计算</w:t>
      </w:r>
      <w:r>
        <w:rPr>
          <w:rFonts w:hint="eastAsia" w:ascii="仿宋" w:hAnsi="仿宋" w:eastAsia="仿宋" w:cs="仿宋"/>
          <w:b/>
          <w:bCs/>
          <w:color w:val="000000" w:themeColor="text1"/>
          <w:sz w:val="24"/>
          <w:szCs w:val="24"/>
          <w:highlight w:val="none"/>
          <w14:textFill>
            <w14:solidFill>
              <w14:schemeClr w14:val="tx1"/>
            </w14:solidFill>
          </w14:textFill>
        </w:rPr>
        <w:t>（须提供软件设置界面截图和产品彩页作为佐证，彩页证明材料所描述产品的品牌、规格、型号必须与投标产品一致。）</w:t>
      </w:r>
    </w:p>
    <w:p w14:paraId="1953148F">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▲5.5 数据采集卡具有forward以及reverse双采集模式，同步兼顾时间分辨率以及采集速率；</w:t>
      </w:r>
      <w:r>
        <w:rPr>
          <w:rFonts w:hint="eastAsia" w:ascii="仿宋" w:hAnsi="仿宋" w:eastAsia="仿宋" w:cs="仿宋"/>
          <w:b/>
          <w:bCs/>
          <w:color w:val="000000" w:themeColor="text1"/>
          <w:sz w:val="24"/>
          <w:szCs w:val="24"/>
          <w:highlight w:val="none"/>
          <w14:textFill>
            <w14:solidFill>
              <w14:schemeClr w14:val="tx1"/>
            </w14:solidFill>
          </w14:textFill>
        </w:rPr>
        <w:t>（需提供产品彩页作为佐证，证明材料所描述产品的品牌、规格、型号必须与投标产品一致。）</w:t>
      </w:r>
    </w:p>
    <w:p w14:paraId="06FA086F">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5.6 最大光子计数率：100MHz；</w:t>
      </w:r>
    </w:p>
    <w:p w14:paraId="34B34C8D">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 多功能样品仓：</w:t>
      </w:r>
    </w:p>
    <w:p w14:paraId="3F31AAA0">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 xml:space="preserve">六方形样品仓内标配用于保护探测器的快门开关；计算机控制的信号衰减器； </w:t>
      </w:r>
    </w:p>
    <w:p w14:paraId="5F852068">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6.2</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液体样品池支架：可使用标准10*10mm比色皿进行测试，并带有温度传感器的循环水出入口；</w:t>
      </w:r>
    </w:p>
    <w:p w14:paraId="1B7F5B8B">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6.</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3 </w:t>
      </w:r>
      <w:r>
        <w:rPr>
          <w:rFonts w:hint="eastAsia" w:ascii="仿宋" w:hAnsi="仿宋" w:eastAsia="仿宋" w:cs="仿宋"/>
          <w:color w:val="000000" w:themeColor="text1"/>
          <w:sz w:val="24"/>
          <w:szCs w:val="24"/>
          <w:highlight w:val="none"/>
          <w14:textFill>
            <w14:solidFill>
              <w14:schemeClr w14:val="tx1"/>
            </w14:solidFill>
          </w14:textFill>
        </w:rPr>
        <w:t>前表面固体样品支架</w:t>
      </w:r>
      <w:bookmarkStart w:id="0" w:name="OLE_LINK1"/>
      <w:r>
        <w:rPr>
          <w:rFonts w:hint="eastAsia" w:ascii="仿宋" w:hAnsi="仿宋" w:eastAsia="仿宋" w:cs="仿宋"/>
          <w:color w:val="000000" w:themeColor="text1"/>
          <w:sz w:val="24"/>
          <w:szCs w:val="24"/>
          <w:highlight w:val="none"/>
          <w14:textFill>
            <w14:solidFill>
              <w14:schemeClr w14:val="tx1"/>
            </w14:solidFill>
          </w14:textFill>
        </w:rPr>
        <w:t>：测试固体、薄膜、粉末、高浓度液体及浑浊液体前表面荧光，可以在样品仓外部微调支架位置，实现最优化的激发</w:t>
      </w:r>
      <w:bookmarkEnd w:id="0"/>
      <w:r>
        <w:rPr>
          <w:rFonts w:hint="eastAsia" w:ascii="仿宋" w:hAnsi="仿宋" w:eastAsia="仿宋" w:cs="仿宋"/>
          <w:color w:val="000000" w:themeColor="text1"/>
          <w:sz w:val="24"/>
          <w:szCs w:val="24"/>
          <w:highlight w:val="none"/>
          <w14:textFill>
            <w14:solidFill>
              <w14:schemeClr w14:val="tx1"/>
            </w14:solidFill>
          </w14:textFill>
        </w:rPr>
        <w:t>；</w:t>
      </w:r>
    </w:p>
    <w:p w14:paraId="1EE9D92A">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 低温恒温器附件</w:t>
      </w:r>
    </w:p>
    <w:p w14:paraId="0AB56711">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温控范围</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-196℃</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550℃；</w:t>
      </w:r>
    </w:p>
    <w:p w14:paraId="3C4B1477">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.2</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温度稳定性：±0.1℃；</w:t>
      </w:r>
    </w:p>
    <w:p w14:paraId="63C068EF">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可通过荧光操作界面与低温恒温器进行通讯，反控低温恒温器测试系统，实现在操作界面控制下自动测试一系列温度依赖的稳态和瞬态荧光光谱。</w:t>
      </w:r>
      <w:r>
        <w:rPr>
          <w:rFonts w:hint="eastAsia" w:ascii="仿宋" w:hAnsi="仿宋" w:eastAsia="仿宋" w:cs="仿宋"/>
          <w:b/>
          <w:bCs/>
          <w:color w:val="000000" w:themeColor="text1"/>
          <w:sz w:val="24"/>
          <w:szCs w:val="24"/>
          <w:highlight w:val="none"/>
          <w14:textFill>
            <w14:solidFill>
              <w14:schemeClr w14:val="tx1"/>
            </w14:solidFill>
          </w14:textFill>
        </w:rPr>
        <w:t>（需提供产品彩页作为佐证，证明材料所描述产品的品牌、规格、型号必须与投标产品一致。）</w:t>
      </w:r>
    </w:p>
    <w:p w14:paraId="5A727076">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14:textFill>
            <w14:solidFill>
              <w14:schemeClr w14:val="tx1"/>
            </w14:solidFill>
          </w14:textFill>
        </w:rPr>
        <w:t>. 滤光片套件：330nm、395nm、455nm、495nm、550nm、590nm和645nm各一片；</w:t>
      </w:r>
    </w:p>
    <w:p w14:paraId="2A9FDFF5">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9. </w:t>
      </w:r>
      <w:r>
        <w:rPr>
          <w:rFonts w:hint="eastAsia" w:ascii="仿宋" w:hAnsi="仿宋" w:eastAsia="仿宋" w:cs="仿宋"/>
          <w:b/>
          <w:bCs/>
          <w:color w:val="000000" w:themeColor="text1"/>
          <w:sz w:val="24"/>
          <w:szCs w:val="24"/>
          <w:highlight w:val="none"/>
          <w14:textFill>
            <w14:solidFill>
              <w14:schemeClr w14:val="tx1"/>
            </w14:solidFill>
          </w14:textFill>
        </w:rPr>
        <w:t>仪器配置</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要求</w:t>
      </w:r>
    </w:p>
    <w:p w14:paraId="7BFC6AD6">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瞬态-稳态光谱仪主机1台，包括：</w:t>
      </w:r>
    </w:p>
    <w:p w14:paraId="3B12BE69">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1.1</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激发单色器（三光栅塔轮结构，标配电动滤光片轮）1个；</w:t>
      </w:r>
    </w:p>
    <w:p w14:paraId="0C740ECE">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1.2</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发射单色器（三光栅塔轮结构，标配电动滤光片轮）1个；</w:t>
      </w:r>
    </w:p>
    <w:p w14:paraId="083E50F9">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1.3</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多功能样品仓1个；</w:t>
      </w:r>
    </w:p>
    <w:p w14:paraId="3BD33D97">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1.4</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液体样品池支架1个；</w:t>
      </w:r>
    </w:p>
    <w:p w14:paraId="3432A145">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1.5</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荧光寿命测试模块1套；</w:t>
      </w:r>
    </w:p>
    <w:p w14:paraId="488794F4">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1.6</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磷光寿命测试模块1套；</w:t>
      </w:r>
    </w:p>
    <w:p w14:paraId="17924A4A">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1.7</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电制冷紫外可见光电倍增管检测器1个；</w:t>
      </w:r>
    </w:p>
    <w:p w14:paraId="41B28C9F">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2</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前表面固体样品支架1套；</w:t>
      </w:r>
    </w:p>
    <w:p w14:paraId="67568B40">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3</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375nm脉冲激光器1套；</w:t>
      </w:r>
    </w:p>
    <w:p w14:paraId="2DBED015">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4</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低温恒温器附件1套；</w:t>
      </w:r>
    </w:p>
    <w:p w14:paraId="545C0F04">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5</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带盖比色皿1个；</w:t>
      </w:r>
    </w:p>
    <w:p w14:paraId="5ACB7840">
      <w:pPr>
        <w:pStyle w:val="8"/>
        <w:keepNext w:val="0"/>
        <w:keepLines w:val="0"/>
        <w:pageBreakBefore w:val="0"/>
        <w:widowControl w:val="0"/>
        <w:kinsoku/>
        <w:wordWrap/>
        <w:overflowPunct/>
        <w:topLinePunct w:val="0"/>
        <w:autoSpaceDE w:val="0"/>
        <w:autoSpaceDN w:val="0"/>
        <w:bidi w:val="0"/>
        <w:adjustRightInd w:val="0"/>
        <w:snapToGrid/>
        <w:spacing w:line="480" w:lineRule="exact"/>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6</w:t>
      </w: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滤光片套件1套。</w:t>
      </w:r>
    </w:p>
    <w:p w14:paraId="72E49F86"/>
    <w:p w14:paraId="1C2DBDD2">
      <w:pPr>
        <w:pStyle w:val="5"/>
        <w:widowControl/>
        <w:jc w:val="left"/>
        <w:rPr>
          <w:rFonts w:hint="eastAsia" w:ascii="宋体" w:hAnsi="宋体" w:eastAsia="宋体" w:cs="宋体"/>
          <w:color w:val="000000" w:themeColor="text1"/>
          <w:highlight w:val="none"/>
          <w14:textFill>
            <w14:solidFill>
              <w14:schemeClr w14:val="tx1"/>
            </w14:solidFill>
          </w14:textFill>
        </w:rPr>
      </w:pPr>
    </w:p>
    <w:p w14:paraId="2828AC48">
      <w:pPr>
        <w:rPr>
          <w:highlight w:val="none"/>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C08"/>
    <w:rsid w:val="00126198"/>
    <w:rsid w:val="001C699D"/>
    <w:rsid w:val="00277531"/>
    <w:rsid w:val="00492811"/>
    <w:rsid w:val="006558CF"/>
    <w:rsid w:val="008B5AB1"/>
    <w:rsid w:val="00900C08"/>
    <w:rsid w:val="00CA2C8C"/>
    <w:rsid w:val="00D97D51"/>
    <w:rsid w:val="00DB62A8"/>
    <w:rsid w:val="00DC3749"/>
    <w:rsid w:val="00E46377"/>
    <w:rsid w:val="018B4997"/>
    <w:rsid w:val="0FEA75CD"/>
    <w:rsid w:val="167C60CF"/>
    <w:rsid w:val="1C946ABE"/>
    <w:rsid w:val="2DAB7507"/>
    <w:rsid w:val="4EFB6A8D"/>
    <w:rsid w:val="5E6351EF"/>
    <w:rsid w:val="6E0C1319"/>
    <w:rsid w:val="70910BA8"/>
    <w:rsid w:val="713759CB"/>
    <w:rsid w:val="715440AF"/>
    <w:rsid w:val="72701416"/>
    <w:rsid w:val="73393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paragraph" w:styleId="5">
    <w:name w:val="Normal (Web)"/>
    <w:basedOn w:val="1"/>
    <w:qFormat/>
    <w:uiPriority w:val="0"/>
    <w:rPr>
      <w:sz w:val="24"/>
      <w:szCs w:val="24"/>
    </w:rPr>
  </w:style>
  <w:style w:type="paragraph" w:customStyle="1" w:styleId="8">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1473</Words>
  <Characters>1858</Characters>
  <Lines>12</Lines>
  <Paragraphs>3</Paragraphs>
  <TotalTime>2</TotalTime>
  <ScaleCrop>false</ScaleCrop>
  <LinksUpToDate>false</LinksUpToDate>
  <CharactersWithSpaces>1931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2025-06-25T01:41:00Z</dcterms:created>
  <dc:creator>Lenovo</dc:creator>
  <cp:lastModifiedBy>猪头不是猪</cp:lastModifiedBy>
  <dcterms:modified xsi:type="dcterms:W3CDTF">2025-12-24T08:34:05Z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eyJoZGlkIjoiYmJjOWQ3OGMyZjY0ZTNkNTNlNzI3YzgzYmRjMThlYjMiLCJ1c2VySWQiOiI0NTkxNjE2NjkifQ==</vt:lpwstr>
  </property>
  <property fmtid="{D5CDD505-2E9C-101B-9397-08002B2CF9AE}" pid="4" name="ICV">
    <vt:lpwstr>0D00BE05AF1D49928E0C342F080529B1_13</vt:lpwstr>
  </property>
</Properties>
</file>