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DAA9B">
      <w:pPr>
        <w:ind w:left="0" w:leftChars="0" w:firstLine="0" w:firstLine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福建理工大学</w:t>
      </w:r>
      <w:r>
        <w:rPr>
          <w:rFonts w:hint="eastAsia" w:ascii="方正小标宋简体" w:hAnsi="方正小标宋简体" w:eastAsia="方正小标宋简体" w:cs="方正小标宋简体"/>
          <w:b w:val="0"/>
          <w:bCs w:val="0"/>
          <w:sz w:val="44"/>
          <w:szCs w:val="44"/>
          <w:lang w:val="en-US" w:eastAsia="zh-CN"/>
        </w:rPr>
        <w:t>招标与采购</w:t>
      </w:r>
      <w:r>
        <w:rPr>
          <w:rFonts w:hint="eastAsia" w:ascii="方正小标宋简体" w:hAnsi="方正小标宋简体" w:eastAsia="方正小标宋简体" w:cs="方正小标宋简体"/>
          <w:b w:val="0"/>
          <w:bCs w:val="0"/>
          <w:sz w:val="44"/>
          <w:szCs w:val="44"/>
        </w:rPr>
        <w:t>工作常见问题指引</w:t>
      </w:r>
    </w:p>
    <w:p w14:paraId="6646F7DD">
      <w:pPr>
        <w:bidi w:val="0"/>
        <w:ind w:firstLine="880"/>
        <w:jc w:val="center"/>
      </w:pPr>
      <w:r>
        <w:rPr>
          <w:rFonts w:hint="eastAsia"/>
          <w:lang w:val="en-US" w:eastAsia="zh-CN"/>
        </w:rPr>
        <w:t>更新</w:t>
      </w:r>
      <w:r>
        <w:rPr>
          <w:rFonts w:hint="eastAsia"/>
        </w:rPr>
        <w:t>日期：2</w:t>
      </w:r>
      <w:r>
        <w:t>026</w:t>
      </w:r>
      <w:r>
        <w:rPr>
          <w:rFonts w:hint="eastAsia"/>
        </w:rPr>
        <w:t>年</w:t>
      </w:r>
      <w:r>
        <w:t>8</w:t>
      </w:r>
      <w:r>
        <w:rPr>
          <w:rFonts w:hint="eastAsia"/>
        </w:rPr>
        <w:t>月</w:t>
      </w:r>
    </w:p>
    <w:p w14:paraId="158CDD00">
      <w:pPr>
        <w:widowControl/>
        <w:spacing w:before="156" w:beforeLines="50" w:line="360" w:lineRule="exact"/>
        <w:ind w:firstLine="560" w:firstLineChars="200"/>
        <w:jc w:val="left"/>
        <w:rPr>
          <w:rFonts w:ascii="仿宋" w:hAnsi="仿宋" w:eastAsia="仿宋"/>
          <w:sz w:val="28"/>
          <w:szCs w:val="28"/>
        </w:rPr>
      </w:pPr>
    </w:p>
    <w:p w14:paraId="4BAFC161">
      <w:pPr>
        <w:bidi w:val="0"/>
        <w:rPr>
          <w:rFonts w:hint="eastAsia"/>
          <w:b/>
          <w:bCs/>
        </w:rPr>
      </w:pPr>
      <w:r>
        <w:t>为进一步规范学校招标采购工作流程，统一业务办理标准，提升全校招采业务办理效率，方便各单位快速解决日常招采业务疑难问题，结合学校招标采购管理制度及实际业务办理情况，特编制</w:t>
      </w:r>
      <w:bookmarkStart w:id="45" w:name="_GoBack"/>
      <w:bookmarkEnd w:id="45"/>
      <w:r>
        <w:t>本常见问题指引。</w:t>
      </w:r>
      <w:r>
        <w:rPr>
          <w:b/>
          <w:bCs/>
        </w:rPr>
        <w:t>本指引将根据上级政策</w:t>
      </w:r>
      <w:r>
        <w:rPr>
          <w:rFonts w:hint="eastAsia"/>
          <w:b/>
          <w:bCs/>
        </w:rPr>
        <w:t>、</w:t>
      </w:r>
      <w:r>
        <w:rPr>
          <w:b/>
          <w:bCs/>
        </w:rPr>
        <w:t>学校制度</w:t>
      </w:r>
      <w:r>
        <w:rPr>
          <w:rFonts w:hint="eastAsia"/>
          <w:b/>
          <w:bCs/>
        </w:rPr>
        <w:t>及师生关心的问题予以</w:t>
      </w:r>
      <w:r>
        <w:rPr>
          <w:b/>
          <w:bCs/>
        </w:rPr>
        <w:t>更新动态调整</w:t>
      </w:r>
      <w:r>
        <w:rPr>
          <w:rFonts w:hint="eastAsia"/>
          <w:b/>
          <w:bCs/>
        </w:rPr>
        <w:t>。</w:t>
      </w:r>
    </w:p>
    <w:p w14:paraId="45B2FF0C">
      <w:pPr>
        <w:bidi w:val="0"/>
        <w:rPr>
          <w:rFonts w:hint="eastAsia"/>
          <w:b/>
          <w:bCs/>
        </w:rPr>
      </w:pPr>
    </w:p>
    <w:p w14:paraId="29AE3063">
      <w:pPr>
        <w:bidi w:val="0"/>
        <w:rPr>
          <w:rFonts w:hint="eastAsia"/>
          <w:b/>
          <w:bCs/>
        </w:rPr>
      </w:pPr>
    </w:p>
    <w:p w14:paraId="1729AC5A">
      <w:pPr>
        <w:bidi w:val="0"/>
        <w:rPr>
          <w:rFonts w:hint="eastAsia"/>
          <w:b/>
          <w:bCs/>
        </w:rPr>
      </w:pPr>
    </w:p>
    <w:p w14:paraId="7EE69C84">
      <w:pPr>
        <w:bidi w:val="0"/>
        <w:rPr>
          <w:rFonts w:hint="eastAsia"/>
          <w:b/>
          <w:bCs/>
        </w:rPr>
      </w:pPr>
    </w:p>
    <w:p w14:paraId="3EB5758C">
      <w:pPr>
        <w:bidi w:val="0"/>
        <w:rPr>
          <w:rFonts w:hint="eastAsia"/>
          <w:b/>
          <w:bCs/>
        </w:rPr>
      </w:pPr>
    </w:p>
    <w:p w14:paraId="6626CB75">
      <w:pPr>
        <w:bidi w:val="0"/>
        <w:rPr>
          <w:rFonts w:hint="eastAsia"/>
          <w:b/>
          <w:bCs/>
        </w:rPr>
      </w:pPr>
    </w:p>
    <w:p w14:paraId="4C03F74F">
      <w:pPr>
        <w:bidi w:val="0"/>
        <w:rPr>
          <w:rFonts w:hint="eastAsia"/>
          <w:b/>
          <w:bCs/>
        </w:rPr>
      </w:pPr>
    </w:p>
    <w:p w14:paraId="632DD981">
      <w:pPr>
        <w:bidi w:val="0"/>
        <w:rPr>
          <w:rFonts w:hint="eastAsia"/>
          <w:b/>
          <w:bCs/>
        </w:rPr>
      </w:pPr>
    </w:p>
    <w:p w14:paraId="3A6B04F3">
      <w:pPr>
        <w:bidi w:val="0"/>
        <w:rPr>
          <w:rFonts w:hint="eastAsia"/>
          <w:b/>
          <w:bCs/>
        </w:rPr>
      </w:pPr>
    </w:p>
    <w:p w14:paraId="065904D9">
      <w:pPr>
        <w:bidi w:val="0"/>
        <w:rPr>
          <w:rFonts w:hint="eastAsia"/>
          <w:b/>
          <w:bCs/>
        </w:rPr>
      </w:pPr>
    </w:p>
    <w:p w14:paraId="14A89814">
      <w:pPr>
        <w:bidi w:val="0"/>
        <w:rPr>
          <w:rFonts w:hint="eastAsia"/>
          <w:b/>
          <w:bCs/>
        </w:rPr>
      </w:pPr>
    </w:p>
    <w:p w14:paraId="28C225D6">
      <w:pPr>
        <w:bidi w:val="0"/>
        <w:rPr>
          <w:rFonts w:hint="eastAsia"/>
          <w:b/>
          <w:bCs/>
        </w:rPr>
      </w:pPr>
    </w:p>
    <w:p w14:paraId="1553DC9F">
      <w:pPr>
        <w:bidi w:val="0"/>
        <w:rPr>
          <w:rFonts w:hint="eastAsia"/>
          <w:b/>
          <w:bCs/>
        </w:rPr>
      </w:pPr>
    </w:p>
    <w:p w14:paraId="29A6A842">
      <w:pPr>
        <w:bidi w:val="0"/>
        <w:rPr>
          <w:rFonts w:hint="eastAsia"/>
          <w:b/>
          <w:bCs/>
        </w:rPr>
      </w:pPr>
    </w:p>
    <w:p w14:paraId="1EF3EC7E">
      <w:pPr>
        <w:bidi w:val="0"/>
        <w:rPr>
          <w:rFonts w:hint="eastAsia"/>
          <w:b/>
          <w:bCs/>
        </w:rPr>
        <w:sectPr>
          <w:pgSz w:w="11906" w:h="16838"/>
          <w:pgMar w:top="1440" w:right="1134" w:bottom="1191" w:left="1304" w:header="851" w:footer="992" w:gutter="0"/>
          <w:cols w:space="425" w:num="1"/>
          <w:docGrid w:type="lines" w:linePitch="312" w:charSpace="0"/>
        </w:sectPr>
      </w:pPr>
    </w:p>
    <w:p w14:paraId="71FAC3C3">
      <w:pPr>
        <w:bidi w:val="0"/>
        <w:rPr>
          <w:rFonts w:hint="eastAsia"/>
          <w:b/>
          <w:bCs/>
        </w:rPr>
      </w:pPr>
    </w:p>
    <w:sdt>
      <w:sdtPr>
        <w:rPr>
          <w:rFonts w:ascii="宋体" w:hAnsi="宋体" w:eastAsia="宋体" w:cstheme="minorBidi"/>
          <w:kern w:val="2"/>
          <w:sz w:val="21"/>
          <w:szCs w:val="22"/>
          <w:lang w:val="en-US" w:eastAsia="zh-CN" w:bidi="ar-SA"/>
        </w:rPr>
        <w:id w:val="147477398"/>
        <w15:color w:val="DBDBDB"/>
        <w:docPartObj>
          <w:docPartGallery w:val="Table of Contents"/>
          <w:docPartUnique/>
        </w:docPartObj>
      </w:sdtPr>
      <w:sdtEndPr>
        <w:rPr>
          <w:rFonts w:ascii="宋体" w:hAnsi="宋体" w:eastAsia="宋体" w:cstheme="minorBidi"/>
          <w:kern w:val="2"/>
          <w:sz w:val="21"/>
          <w:szCs w:val="22"/>
          <w:lang w:val="en-US" w:eastAsia="zh-CN" w:bidi="ar-SA"/>
        </w:rPr>
      </w:sdtEndPr>
      <w:sdtContent>
        <w:p w14:paraId="61918E2F">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14:paraId="2229A2B7">
          <w:pPr>
            <w:pStyle w:val="9"/>
            <w:tabs>
              <w:tab w:val="right" w:leader="dot" w:pos="9468"/>
            </w:tabs>
          </w:pPr>
          <w:r>
            <w:fldChar w:fldCharType="begin"/>
          </w:r>
          <w:r>
            <w:instrText xml:space="preserve">TOC \o "1-2" \h \u </w:instrText>
          </w:r>
          <w:r>
            <w:fldChar w:fldCharType="separate"/>
          </w:r>
          <w:r>
            <w:fldChar w:fldCharType="begin"/>
          </w:r>
          <w:r>
            <w:instrText xml:space="preserve"> HYPERLINK \l _Toc14826 </w:instrText>
          </w:r>
          <w:r>
            <w:fldChar w:fldCharType="separate"/>
          </w:r>
          <w:r>
            <w:rPr>
              <w:rFonts w:hint="eastAsia"/>
            </w:rPr>
            <w:t>·通用基础篇</w:t>
          </w:r>
          <w:r>
            <w:tab/>
          </w:r>
          <w:r>
            <w:fldChar w:fldCharType="begin"/>
          </w:r>
          <w:r>
            <w:instrText xml:space="preserve"> PAGEREF _Toc14826 \h </w:instrText>
          </w:r>
          <w:r>
            <w:fldChar w:fldCharType="separate"/>
          </w:r>
          <w:r>
            <w:t>1</w:t>
          </w:r>
          <w:r>
            <w:fldChar w:fldCharType="end"/>
          </w:r>
          <w:r>
            <w:fldChar w:fldCharType="end"/>
          </w:r>
        </w:p>
        <w:p w14:paraId="5D83803D">
          <w:pPr>
            <w:pStyle w:val="10"/>
            <w:tabs>
              <w:tab w:val="right" w:leader="dot" w:pos="9468"/>
            </w:tabs>
          </w:pPr>
          <w:r>
            <w:fldChar w:fldCharType="begin"/>
          </w:r>
          <w:r>
            <w:instrText xml:space="preserve"> HYPERLINK \l _Toc8283 </w:instrText>
          </w:r>
          <w:r>
            <w:fldChar w:fldCharType="separate"/>
          </w:r>
          <w:r>
            <w:rPr>
              <w:rFonts w:hint="eastAsia"/>
            </w:rPr>
            <w:t>问题1：什么是政府采购？</w:t>
          </w:r>
          <w:r>
            <w:tab/>
          </w:r>
          <w:r>
            <w:fldChar w:fldCharType="begin"/>
          </w:r>
          <w:r>
            <w:instrText xml:space="preserve"> PAGEREF _Toc8283 \h </w:instrText>
          </w:r>
          <w:r>
            <w:fldChar w:fldCharType="separate"/>
          </w:r>
          <w:r>
            <w:t>1</w:t>
          </w:r>
          <w:r>
            <w:fldChar w:fldCharType="end"/>
          </w:r>
          <w:r>
            <w:fldChar w:fldCharType="end"/>
          </w:r>
        </w:p>
        <w:p w14:paraId="5A97D991">
          <w:pPr>
            <w:pStyle w:val="10"/>
            <w:tabs>
              <w:tab w:val="right" w:leader="dot" w:pos="9468"/>
            </w:tabs>
          </w:pPr>
          <w:r>
            <w:fldChar w:fldCharType="begin"/>
          </w:r>
          <w:r>
            <w:instrText xml:space="preserve"> HYPERLINK \l _Toc25209 </w:instrText>
          </w:r>
          <w:r>
            <w:fldChar w:fldCharType="separate"/>
          </w:r>
          <w:r>
            <w:rPr>
              <w:rFonts w:hint="eastAsia"/>
            </w:rPr>
            <w:t>问题2：财政性资金是指什么？</w:t>
          </w:r>
          <w:r>
            <w:tab/>
          </w:r>
          <w:r>
            <w:fldChar w:fldCharType="begin"/>
          </w:r>
          <w:r>
            <w:instrText xml:space="preserve"> PAGEREF _Toc25209 \h </w:instrText>
          </w:r>
          <w:r>
            <w:fldChar w:fldCharType="separate"/>
          </w:r>
          <w:r>
            <w:t>1</w:t>
          </w:r>
          <w:r>
            <w:fldChar w:fldCharType="end"/>
          </w:r>
          <w:r>
            <w:fldChar w:fldCharType="end"/>
          </w:r>
        </w:p>
        <w:p w14:paraId="520B70F9">
          <w:pPr>
            <w:pStyle w:val="10"/>
            <w:tabs>
              <w:tab w:val="right" w:leader="dot" w:pos="9468"/>
            </w:tabs>
          </w:pPr>
          <w:r>
            <w:fldChar w:fldCharType="begin"/>
          </w:r>
          <w:r>
            <w:instrText xml:space="preserve"> HYPERLINK \l _Toc10945 </w:instrText>
          </w:r>
          <w:r>
            <w:fldChar w:fldCharType="separate"/>
          </w:r>
          <w:r>
            <w:rPr>
              <w:rFonts w:hint="eastAsia"/>
            </w:rPr>
            <w:t>问题3：学校招标采购业务主要包含哪些范围？</w:t>
          </w:r>
          <w:r>
            <w:tab/>
          </w:r>
          <w:r>
            <w:fldChar w:fldCharType="begin"/>
          </w:r>
          <w:r>
            <w:instrText xml:space="preserve"> PAGEREF _Toc10945 \h </w:instrText>
          </w:r>
          <w:r>
            <w:fldChar w:fldCharType="separate"/>
          </w:r>
          <w:r>
            <w:t>2</w:t>
          </w:r>
          <w:r>
            <w:fldChar w:fldCharType="end"/>
          </w:r>
          <w:r>
            <w:fldChar w:fldCharType="end"/>
          </w:r>
        </w:p>
        <w:p w14:paraId="4B988F57">
          <w:pPr>
            <w:pStyle w:val="10"/>
            <w:tabs>
              <w:tab w:val="right" w:leader="dot" w:pos="9468"/>
            </w:tabs>
          </w:pPr>
          <w:r>
            <w:fldChar w:fldCharType="begin"/>
          </w:r>
          <w:r>
            <w:instrText xml:space="preserve"> HYPERLINK \l _Toc6448 </w:instrText>
          </w:r>
          <w:r>
            <w:fldChar w:fldCharType="separate"/>
          </w:r>
          <w:r>
            <w:rPr>
              <w:rFonts w:hint="eastAsia"/>
            </w:rPr>
            <w:t>问题4：学校招标采购项目采购前需要完成哪些前置手续？</w:t>
          </w:r>
          <w:r>
            <w:tab/>
          </w:r>
          <w:r>
            <w:fldChar w:fldCharType="begin"/>
          </w:r>
          <w:r>
            <w:instrText xml:space="preserve"> PAGEREF _Toc6448 \h </w:instrText>
          </w:r>
          <w:r>
            <w:fldChar w:fldCharType="separate"/>
          </w:r>
          <w:r>
            <w:t>2</w:t>
          </w:r>
          <w:r>
            <w:fldChar w:fldCharType="end"/>
          </w:r>
          <w:r>
            <w:fldChar w:fldCharType="end"/>
          </w:r>
        </w:p>
        <w:p w14:paraId="1EB1C23C">
          <w:pPr>
            <w:pStyle w:val="10"/>
            <w:tabs>
              <w:tab w:val="right" w:leader="dot" w:pos="9468"/>
            </w:tabs>
          </w:pPr>
          <w:r>
            <w:fldChar w:fldCharType="begin"/>
          </w:r>
          <w:r>
            <w:instrText xml:space="preserve"> HYPERLINK \l _Toc24191 </w:instrText>
          </w:r>
          <w:r>
            <w:fldChar w:fldCharType="separate"/>
          </w:r>
          <w:r>
            <w:rPr>
              <w:rFonts w:hint="eastAsia"/>
            </w:rPr>
            <w:t>问题5：采购申请前需要准备什么材料？</w:t>
          </w:r>
          <w:r>
            <w:tab/>
          </w:r>
          <w:r>
            <w:fldChar w:fldCharType="begin"/>
          </w:r>
          <w:r>
            <w:instrText xml:space="preserve"> PAGEREF _Toc24191 \h </w:instrText>
          </w:r>
          <w:r>
            <w:fldChar w:fldCharType="separate"/>
          </w:r>
          <w:r>
            <w:t>2</w:t>
          </w:r>
          <w:r>
            <w:fldChar w:fldCharType="end"/>
          </w:r>
          <w:r>
            <w:fldChar w:fldCharType="end"/>
          </w:r>
        </w:p>
        <w:p w14:paraId="61EB9267">
          <w:pPr>
            <w:pStyle w:val="10"/>
            <w:tabs>
              <w:tab w:val="right" w:leader="dot" w:pos="9468"/>
            </w:tabs>
          </w:pPr>
          <w:r>
            <w:fldChar w:fldCharType="begin"/>
          </w:r>
          <w:r>
            <w:instrText xml:space="preserve"> HYPERLINK \l _Toc26991 </w:instrText>
          </w:r>
          <w:r>
            <w:fldChar w:fldCharType="separate"/>
          </w:r>
          <w:r>
            <w:rPr>
              <w:rFonts w:hint="eastAsia"/>
            </w:rPr>
            <w:t>问题6：货物标、工程标、服务标有什么区别？</w:t>
          </w:r>
          <w:r>
            <w:tab/>
          </w:r>
          <w:r>
            <w:fldChar w:fldCharType="begin"/>
          </w:r>
          <w:r>
            <w:instrText xml:space="preserve"> PAGEREF _Toc26991 \h </w:instrText>
          </w:r>
          <w:r>
            <w:fldChar w:fldCharType="separate"/>
          </w:r>
          <w:r>
            <w:t>3</w:t>
          </w:r>
          <w:r>
            <w:fldChar w:fldCharType="end"/>
          </w:r>
          <w:r>
            <w:fldChar w:fldCharType="end"/>
          </w:r>
        </w:p>
        <w:p w14:paraId="4EC0455E">
          <w:pPr>
            <w:pStyle w:val="10"/>
            <w:tabs>
              <w:tab w:val="right" w:leader="dot" w:pos="9468"/>
            </w:tabs>
          </w:pPr>
          <w:r>
            <w:fldChar w:fldCharType="begin"/>
          </w:r>
          <w:r>
            <w:instrText xml:space="preserve"> HYPERLINK \l _Toc20982 </w:instrText>
          </w:r>
          <w:r>
            <w:fldChar w:fldCharType="separate"/>
          </w:r>
          <w:r>
            <w:rPr>
              <w:rFonts w:hint="eastAsia"/>
            </w:rPr>
            <w:t>问题7：一个政府采购项目，项目内既有集中目录内的货物（占比30%），又有分散类的货物（占比70%），是否可以委托给分散代理机构？还是只能统一委托给集中采购代理机构？或者是否有其他类似项目的解决办法？</w:t>
          </w:r>
          <w:r>
            <w:tab/>
          </w:r>
          <w:r>
            <w:fldChar w:fldCharType="begin"/>
          </w:r>
          <w:r>
            <w:instrText xml:space="preserve"> PAGEREF _Toc20982 \h </w:instrText>
          </w:r>
          <w:r>
            <w:fldChar w:fldCharType="separate"/>
          </w:r>
          <w:r>
            <w:t>4</w:t>
          </w:r>
          <w:r>
            <w:fldChar w:fldCharType="end"/>
          </w:r>
          <w:r>
            <w:fldChar w:fldCharType="end"/>
          </w:r>
        </w:p>
        <w:p w14:paraId="6C9B42A6">
          <w:pPr>
            <w:pStyle w:val="9"/>
            <w:tabs>
              <w:tab w:val="right" w:leader="dot" w:pos="9468"/>
            </w:tabs>
          </w:pPr>
          <w:r>
            <w:fldChar w:fldCharType="begin"/>
          </w:r>
          <w:r>
            <w:instrText xml:space="preserve"> HYPERLINK \l _Toc28301 </w:instrText>
          </w:r>
          <w:r>
            <w:fldChar w:fldCharType="separate"/>
          </w:r>
          <w:r>
            <w:rPr>
              <w:rFonts w:hint="eastAsia"/>
            </w:rPr>
            <w:t>·采购方式认定篇</w:t>
          </w:r>
          <w:r>
            <w:tab/>
          </w:r>
          <w:r>
            <w:fldChar w:fldCharType="begin"/>
          </w:r>
          <w:r>
            <w:instrText xml:space="preserve"> PAGEREF _Toc28301 \h </w:instrText>
          </w:r>
          <w:r>
            <w:fldChar w:fldCharType="separate"/>
          </w:r>
          <w:r>
            <w:t>4</w:t>
          </w:r>
          <w:r>
            <w:fldChar w:fldCharType="end"/>
          </w:r>
          <w:r>
            <w:fldChar w:fldCharType="end"/>
          </w:r>
        </w:p>
        <w:p w14:paraId="198AD17C">
          <w:pPr>
            <w:pStyle w:val="10"/>
            <w:tabs>
              <w:tab w:val="right" w:leader="dot" w:pos="9468"/>
            </w:tabs>
          </w:pPr>
          <w:r>
            <w:fldChar w:fldCharType="begin"/>
          </w:r>
          <w:r>
            <w:instrText xml:space="preserve"> HYPERLINK \l _Toc32694 </w:instrText>
          </w:r>
          <w:r>
            <w:fldChar w:fldCharType="separate"/>
          </w:r>
          <w:r>
            <w:rPr>
              <w:rFonts w:hint="eastAsia"/>
            </w:rPr>
            <w:t>问题1：政府采购形式有哪几种？</w:t>
          </w:r>
          <w:r>
            <w:tab/>
          </w:r>
          <w:r>
            <w:fldChar w:fldCharType="begin"/>
          </w:r>
          <w:r>
            <w:instrText xml:space="preserve"> PAGEREF _Toc32694 \h </w:instrText>
          </w:r>
          <w:r>
            <w:fldChar w:fldCharType="separate"/>
          </w:r>
          <w:r>
            <w:t>4</w:t>
          </w:r>
          <w:r>
            <w:fldChar w:fldCharType="end"/>
          </w:r>
          <w:r>
            <w:fldChar w:fldCharType="end"/>
          </w:r>
        </w:p>
        <w:p w14:paraId="1F524F4C">
          <w:pPr>
            <w:pStyle w:val="10"/>
            <w:tabs>
              <w:tab w:val="right" w:leader="dot" w:pos="9468"/>
            </w:tabs>
          </w:pPr>
          <w:r>
            <w:fldChar w:fldCharType="begin"/>
          </w:r>
          <w:r>
            <w:instrText xml:space="preserve"> HYPERLINK \l _Toc6947 </w:instrText>
          </w:r>
          <w:r>
            <w:fldChar w:fldCharType="separate"/>
          </w:r>
          <w:r>
            <w:rPr>
              <w:rFonts w:hint="eastAsia"/>
            </w:rPr>
            <w:t>问题</w:t>
          </w:r>
          <w:r>
            <w:t>2：政府采购方式主要有哪几种？</w:t>
          </w:r>
          <w:r>
            <w:tab/>
          </w:r>
          <w:r>
            <w:fldChar w:fldCharType="begin"/>
          </w:r>
          <w:r>
            <w:instrText xml:space="preserve"> PAGEREF _Toc6947 \h </w:instrText>
          </w:r>
          <w:r>
            <w:fldChar w:fldCharType="separate"/>
          </w:r>
          <w:r>
            <w:t>5</w:t>
          </w:r>
          <w:r>
            <w:fldChar w:fldCharType="end"/>
          </w:r>
          <w:r>
            <w:fldChar w:fldCharType="end"/>
          </w:r>
        </w:p>
        <w:p w14:paraId="33B4FB41">
          <w:pPr>
            <w:pStyle w:val="10"/>
            <w:tabs>
              <w:tab w:val="right" w:leader="dot" w:pos="9468"/>
            </w:tabs>
          </w:pPr>
          <w:r>
            <w:fldChar w:fldCharType="begin"/>
          </w:r>
          <w:r>
            <w:instrText xml:space="preserve"> HYPERLINK \l _Toc4371 </w:instrText>
          </w:r>
          <w:r>
            <w:fldChar w:fldCharType="separate"/>
          </w:r>
          <w:r>
            <w:rPr>
              <w:rFonts w:hint="eastAsia"/>
            </w:rPr>
            <w:t>问题</w:t>
          </w:r>
          <w:r>
            <w:t>3：主要采购方式的区别？</w:t>
          </w:r>
          <w:r>
            <w:tab/>
          </w:r>
          <w:r>
            <w:fldChar w:fldCharType="begin"/>
          </w:r>
          <w:r>
            <w:instrText xml:space="preserve"> PAGEREF _Toc4371 \h </w:instrText>
          </w:r>
          <w:r>
            <w:fldChar w:fldCharType="separate"/>
          </w:r>
          <w:r>
            <w:t>5</w:t>
          </w:r>
          <w:r>
            <w:fldChar w:fldCharType="end"/>
          </w:r>
          <w:r>
            <w:fldChar w:fldCharType="end"/>
          </w:r>
        </w:p>
        <w:p w14:paraId="18F82C2F">
          <w:pPr>
            <w:pStyle w:val="10"/>
            <w:tabs>
              <w:tab w:val="right" w:leader="dot" w:pos="9468"/>
            </w:tabs>
          </w:pPr>
          <w:r>
            <w:fldChar w:fldCharType="begin"/>
          </w:r>
          <w:r>
            <w:instrText xml:space="preserve"> HYPERLINK \l _Toc30670 </w:instrText>
          </w:r>
          <w:r>
            <w:fldChar w:fldCharType="separate"/>
          </w:r>
          <w:r>
            <w:rPr>
              <w:rFonts w:hint="eastAsia"/>
            </w:rPr>
            <w:t>问题</w:t>
          </w:r>
          <w:r>
            <w:t>4：竞争性谈判和竞争性磋商有什么区别？</w:t>
          </w:r>
          <w:r>
            <w:tab/>
          </w:r>
          <w:r>
            <w:fldChar w:fldCharType="begin"/>
          </w:r>
          <w:r>
            <w:instrText xml:space="preserve"> PAGEREF _Toc30670 \h </w:instrText>
          </w:r>
          <w:r>
            <w:fldChar w:fldCharType="separate"/>
          </w:r>
          <w:r>
            <w:t>5</w:t>
          </w:r>
          <w:r>
            <w:fldChar w:fldCharType="end"/>
          </w:r>
          <w:r>
            <w:fldChar w:fldCharType="end"/>
          </w:r>
        </w:p>
        <w:p w14:paraId="3BB88544">
          <w:pPr>
            <w:pStyle w:val="10"/>
            <w:tabs>
              <w:tab w:val="right" w:leader="dot" w:pos="9468"/>
            </w:tabs>
          </w:pPr>
          <w:r>
            <w:fldChar w:fldCharType="begin"/>
          </w:r>
          <w:r>
            <w:instrText xml:space="preserve"> HYPERLINK \l _Toc18025 </w:instrText>
          </w:r>
          <w:r>
            <w:fldChar w:fldCharType="separate"/>
          </w:r>
          <w:r>
            <w:rPr>
              <w:rFonts w:hint="eastAsia"/>
            </w:rPr>
            <w:t>问题</w:t>
          </w:r>
          <w:r>
            <w:t>5：</w:t>
          </w:r>
          <w:r>
            <w:rPr>
              <w:rFonts w:hint="eastAsia"/>
            </w:rPr>
            <w:t>学校集中采购项目什么情况下可以用单一来源？</w:t>
          </w:r>
          <w:r>
            <w:tab/>
          </w:r>
          <w:r>
            <w:fldChar w:fldCharType="begin"/>
          </w:r>
          <w:r>
            <w:instrText xml:space="preserve"> PAGEREF _Toc18025 \h </w:instrText>
          </w:r>
          <w:r>
            <w:fldChar w:fldCharType="separate"/>
          </w:r>
          <w:r>
            <w:t>6</w:t>
          </w:r>
          <w:r>
            <w:fldChar w:fldCharType="end"/>
          </w:r>
          <w:r>
            <w:fldChar w:fldCharType="end"/>
          </w:r>
        </w:p>
        <w:p w14:paraId="3103010C">
          <w:pPr>
            <w:pStyle w:val="10"/>
            <w:tabs>
              <w:tab w:val="right" w:leader="dot" w:pos="9468"/>
            </w:tabs>
          </w:pPr>
          <w:r>
            <w:fldChar w:fldCharType="begin"/>
          </w:r>
          <w:r>
            <w:instrText xml:space="preserve"> HYPERLINK \l _Toc31974 </w:instrText>
          </w:r>
          <w:r>
            <w:fldChar w:fldCharType="separate"/>
          </w:r>
          <w:r>
            <w:rPr>
              <w:rFonts w:hint="eastAsia"/>
            </w:rPr>
            <w:t>问题</w:t>
          </w:r>
          <w:r>
            <w:t>6：政府采购评审方法有哪些？</w:t>
          </w:r>
          <w:r>
            <w:tab/>
          </w:r>
          <w:r>
            <w:fldChar w:fldCharType="begin"/>
          </w:r>
          <w:r>
            <w:instrText xml:space="preserve"> PAGEREF _Toc31974 \h </w:instrText>
          </w:r>
          <w:r>
            <w:fldChar w:fldCharType="separate"/>
          </w:r>
          <w:r>
            <w:t>7</w:t>
          </w:r>
          <w:r>
            <w:fldChar w:fldCharType="end"/>
          </w:r>
          <w:r>
            <w:fldChar w:fldCharType="end"/>
          </w:r>
        </w:p>
        <w:p w14:paraId="67E28FC0">
          <w:pPr>
            <w:pStyle w:val="9"/>
            <w:tabs>
              <w:tab w:val="right" w:leader="dot" w:pos="9468"/>
            </w:tabs>
          </w:pPr>
          <w:r>
            <w:fldChar w:fldCharType="begin"/>
          </w:r>
          <w:r>
            <w:instrText xml:space="preserve"> HYPERLINK \l _Toc12914 </w:instrText>
          </w:r>
          <w:r>
            <w:fldChar w:fldCharType="separate"/>
          </w:r>
          <w:r>
            <w:rPr>
              <w:rFonts w:hint="eastAsia"/>
            </w:rPr>
            <w:t>·招标采购流程篇</w:t>
          </w:r>
          <w:r>
            <w:tab/>
          </w:r>
          <w:r>
            <w:fldChar w:fldCharType="begin"/>
          </w:r>
          <w:r>
            <w:instrText xml:space="preserve"> PAGEREF _Toc12914 \h </w:instrText>
          </w:r>
          <w:r>
            <w:fldChar w:fldCharType="separate"/>
          </w:r>
          <w:r>
            <w:t>7</w:t>
          </w:r>
          <w:r>
            <w:fldChar w:fldCharType="end"/>
          </w:r>
          <w:r>
            <w:fldChar w:fldCharType="end"/>
          </w:r>
        </w:p>
        <w:p w14:paraId="2DAEC409">
          <w:pPr>
            <w:pStyle w:val="10"/>
            <w:tabs>
              <w:tab w:val="right" w:leader="dot" w:pos="9468"/>
            </w:tabs>
            <w:sectPr>
              <w:footerReference r:id="rId5" w:type="default"/>
              <w:pgSz w:w="11906" w:h="16838"/>
              <w:pgMar w:top="1440" w:right="1134" w:bottom="1191" w:left="1304" w:header="851" w:footer="992" w:gutter="0"/>
              <w:pgNumType w:start="1"/>
              <w:cols w:space="425" w:num="1"/>
              <w:docGrid w:type="lines" w:linePitch="312" w:charSpace="0"/>
            </w:sectPr>
          </w:pPr>
        </w:p>
        <w:p w14:paraId="54DF0A41">
          <w:pPr>
            <w:pStyle w:val="10"/>
            <w:tabs>
              <w:tab w:val="right" w:leader="dot" w:pos="9468"/>
            </w:tabs>
          </w:pPr>
          <w:r>
            <w:fldChar w:fldCharType="begin"/>
          </w:r>
          <w:r>
            <w:instrText xml:space="preserve"> HYPERLINK \l _Toc1784 </w:instrText>
          </w:r>
          <w:r>
            <w:fldChar w:fldCharType="separate"/>
          </w:r>
          <w:r>
            <w:rPr>
              <w:rFonts w:hint="eastAsia"/>
            </w:rPr>
            <w:t>问题</w:t>
          </w:r>
          <w:r>
            <w:t>1：学校集中采购流程主要有哪些？</w:t>
          </w:r>
          <w:r>
            <w:tab/>
          </w:r>
          <w:r>
            <w:fldChar w:fldCharType="begin"/>
          </w:r>
          <w:r>
            <w:instrText xml:space="preserve"> PAGEREF _Toc1784 \h </w:instrText>
          </w:r>
          <w:r>
            <w:fldChar w:fldCharType="separate"/>
          </w:r>
          <w:r>
            <w:t>7</w:t>
          </w:r>
          <w:r>
            <w:fldChar w:fldCharType="end"/>
          </w:r>
          <w:r>
            <w:fldChar w:fldCharType="end"/>
          </w:r>
        </w:p>
        <w:p w14:paraId="4FE27CEC">
          <w:pPr>
            <w:pStyle w:val="10"/>
            <w:tabs>
              <w:tab w:val="right" w:leader="dot" w:pos="9468"/>
            </w:tabs>
          </w:pPr>
          <w:r>
            <w:fldChar w:fldCharType="begin"/>
          </w:r>
          <w:r>
            <w:instrText xml:space="preserve"> HYPERLINK \l _Toc26970 </w:instrText>
          </w:r>
          <w:r>
            <w:fldChar w:fldCharType="separate"/>
          </w:r>
          <w:r>
            <w:rPr>
              <w:rFonts w:hint="eastAsia"/>
            </w:rPr>
            <w:t>问题</w:t>
          </w:r>
          <w:r>
            <w:t>2：什么是采购需求管理？</w:t>
          </w:r>
          <w:r>
            <w:tab/>
          </w:r>
          <w:r>
            <w:fldChar w:fldCharType="begin"/>
          </w:r>
          <w:r>
            <w:instrText xml:space="preserve"> PAGEREF _Toc26970 \h </w:instrText>
          </w:r>
          <w:r>
            <w:fldChar w:fldCharType="separate"/>
          </w:r>
          <w:r>
            <w:t>8</w:t>
          </w:r>
          <w:r>
            <w:fldChar w:fldCharType="end"/>
          </w:r>
          <w:r>
            <w:fldChar w:fldCharType="end"/>
          </w:r>
        </w:p>
        <w:p w14:paraId="132F01E7">
          <w:pPr>
            <w:pStyle w:val="10"/>
            <w:tabs>
              <w:tab w:val="right" w:leader="dot" w:pos="9468"/>
            </w:tabs>
          </w:pPr>
          <w:r>
            <w:fldChar w:fldCharType="begin"/>
          </w:r>
          <w:r>
            <w:instrText xml:space="preserve"> HYPERLINK \l _Toc9222 </w:instrText>
          </w:r>
          <w:r>
            <w:fldChar w:fldCharType="separate"/>
          </w:r>
          <w:r>
            <w:rPr>
              <w:rFonts w:hint="eastAsia"/>
            </w:rPr>
            <w:t>问题</w:t>
          </w:r>
          <w:r>
            <w:t>3：采购需求如何取得？</w:t>
          </w:r>
          <w:r>
            <w:tab/>
          </w:r>
          <w:r>
            <w:fldChar w:fldCharType="begin"/>
          </w:r>
          <w:r>
            <w:instrText xml:space="preserve"> PAGEREF _Toc9222 \h </w:instrText>
          </w:r>
          <w:r>
            <w:fldChar w:fldCharType="separate"/>
          </w:r>
          <w:r>
            <w:t>8</w:t>
          </w:r>
          <w:r>
            <w:fldChar w:fldCharType="end"/>
          </w:r>
          <w:r>
            <w:fldChar w:fldCharType="end"/>
          </w:r>
        </w:p>
        <w:p w14:paraId="53D26F5E">
          <w:pPr>
            <w:pStyle w:val="10"/>
            <w:tabs>
              <w:tab w:val="right" w:leader="dot" w:pos="9468"/>
            </w:tabs>
          </w:pPr>
          <w:r>
            <w:fldChar w:fldCharType="begin"/>
          </w:r>
          <w:r>
            <w:instrText xml:space="preserve"> HYPERLINK \l _Toc2428 </w:instrText>
          </w:r>
          <w:r>
            <w:fldChar w:fldCharType="separate"/>
          </w:r>
          <w:r>
            <w:rPr>
              <w:rFonts w:hint="eastAsia"/>
            </w:rPr>
            <w:t>问题</w:t>
          </w:r>
          <w:r>
            <w:t>4：采购需求中技术参数的审查标准是什么？</w:t>
          </w:r>
          <w:r>
            <w:tab/>
          </w:r>
          <w:r>
            <w:fldChar w:fldCharType="begin"/>
          </w:r>
          <w:r>
            <w:instrText xml:space="preserve"> PAGEREF _Toc2428 \h </w:instrText>
          </w:r>
          <w:r>
            <w:fldChar w:fldCharType="separate"/>
          </w:r>
          <w:r>
            <w:t>8</w:t>
          </w:r>
          <w:r>
            <w:fldChar w:fldCharType="end"/>
          </w:r>
          <w:r>
            <w:fldChar w:fldCharType="end"/>
          </w:r>
        </w:p>
        <w:p w14:paraId="6A4939D2">
          <w:pPr>
            <w:pStyle w:val="10"/>
            <w:tabs>
              <w:tab w:val="right" w:leader="dot" w:pos="9468"/>
            </w:tabs>
          </w:pPr>
          <w:r>
            <w:fldChar w:fldCharType="begin"/>
          </w:r>
          <w:r>
            <w:instrText xml:space="preserve"> HYPERLINK \l _Toc10204 </w:instrText>
          </w:r>
          <w:r>
            <w:fldChar w:fldCharType="separate"/>
          </w:r>
          <w:r>
            <w:rPr>
              <w:rFonts w:hint="eastAsia"/>
            </w:rPr>
            <w:t>问题</w:t>
          </w:r>
          <w:r>
            <w:t>5：按学校文件规定哪些项目应当开展需求调查？</w:t>
          </w:r>
          <w:r>
            <w:tab/>
          </w:r>
          <w:r>
            <w:fldChar w:fldCharType="begin"/>
          </w:r>
          <w:r>
            <w:instrText xml:space="preserve"> PAGEREF _Toc10204 \h </w:instrText>
          </w:r>
          <w:r>
            <w:fldChar w:fldCharType="separate"/>
          </w:r>
          <w:r>
            <w:t>9</w:t>
          </w:r>
          <w:r>
            <w:fldChar w:fldCharType="end"/>
          </w:r>
          <w:r>
            <w:fldChar w:fldCharType="end"/>
          </w:r>
        </w:p>
        <w:p w14:paraId="75009244">
          <w:pPr>
            <w:pStyle w:val="10"/>
            <w:tabs>
              <w:tab w:val="right" w:leader="dot" w:pos="9468"/>
            </w:tabs>
          </w:pPr>
          <w:r>
            <w:fldChar w:fldCharType="begin"/>
          </w:r>
          <w:r>
            <w:instrText xml:space="preserve"> HYPERLINK \l _Toc29412 </w:instrText>
          </w:r>
          <w:r>
            <w:fldChar w:fldCharType="separate"/>
          </w:r>
          <w:r>
            <w:rPr>
              <w:rFonts w:hint="eastAsia"/>
            </w:rPr>
            <w:t>问题</w:t>
          </w:r>
          <w:r>
            <w:t>6：政府采购采购意向公开是必须要的吗？</w:t>
          </w:r>
          <w:r>
            <w:tab/>
          </w:r>
          <w:r>
            <w:fldChar w:fldCharType="begin"/>
          </w:r>
          <w:r>
            <w:instrText xml:space="preserve"> PAGEREF _Toc29412 \h </w:instrText>
          </w:r>
          <w:r>
            <w:fldChar w:fldCharType="separate"/>
          </w:r>
          <w:r>
            <w:t>9</w:t>
          </w:r>
          <w:r>
            <w:fldChar w:fldCharType="end"/>
          </w:r>
          <w:r>
            <w:fldChar w:fldCharType="end"/>
          </w:r>
        </w:p>
        <w:p w14:paraId="3DDDA8F9">
          <w:pPr>
            <w:pStyle w:val="10"/>
            <w:tabs>
              <w:tab w:val="right" w:leader="dot" w:pos="9468"/>
            </w:tabs>
          </w:pPr>
          <w:r>
            <w:fldChar w:fldCharType="begin"/>
          </w:r>
          <w:r>
            <w:instrText xml:space="preserve"> HYPERLINK \l _Toc10237 </w:instrText>
          </w:r>
          <w:r>
            <w:fldChar w:fldCharType="separate"/>
          </w:r>
          <w:r>
            <w:rPr>
              <w:rFonts w:hint="eastAsia"/>
            </w:rPr>
            <w:t>问题</w:t>
          </w:r>
          <w:r>
            <w:t>7</w:t>
          </w:r>
          <w:r>
            <w:rPr>
              <w:rFonts w:hint="eastAsia"/>
            </w:rPr>
            <w:t>：学校集中采购项目的招标文件编制的内控规定有哪些？</w:t>
          </w:r>
          <w:r>
            <w:tab/>
          </w:r>
          <w:r>
            <w:fldChar w:fldCharType="begin"/>
          </w:r>
          <w:r>
            <w:instrText xml:space="preserve"> PAGEREF _Toc10237 \h </w:instrText>
          </w:r>
          <w:r>
            <w:fldChar w:fldCharType="separate"/>
          </w:r>
          <w:r>
            <w:t>10</w:t>
          </w:r>
          <w:r>
            <w:fldChar w:fldCharType="end"/>
          </w:r>
          <w:r>
            <w:fldChar w:fldCharType="end"/>
          </w:r>
        </w:p>
        <w:p w14:paraId="4FFB53E0">
          <w:pPr>
            <w:pStyle w:val="9"/>
            <w:tabs>
              <w:tab w:val="right" w:leader="dot" w:pos="9468"/>
            </w:tabs>
          </w:pPr>
          <w:r>
            <w:fldChar w:fldCharType="begin"/>
          </w:r>
          <w:r>
            <w:instrText xml:space="preserve"> HYPERLINK \l _Toc27665 </w:instrText>
          </w:r>
          <w:r>
            <w:fldChar w:fldCharType="separate"/>
          </w:r>
          <w:r>
            <w:rPr>
              <w:rFonts w:hint="eastAsia"/>
            </w:rPr>
            <w:t>·采购预算篇</w:t>
          </w:r>
          <w:r>
            <w:tab/>
          </w:r>
          <w:r>
            <w:fldChar w:fldCharType="begin"/>
          </w:r>
          <w:r>
            <w:instrText xml:space="preserve"> PAGEREF _Toc27665 \h </w:instrText>
          </w:r>
          <w:r>
            <w:fldChar w:fldCharType="separate"/>
          </w:r>
          <w:r>
            <w:t>11</w:t>
          </w:r>
          <w:r>
            <w:fldChar w:fldCharType="end"/>
          </w:r>
          <w:r>
            <w:fldChar w:fldCharType="end"/>
          </w:r>
        </w:p>
        <w:p w14:paraId="3BB32F32">
          <w:pPr>
            <w:pStyle w:val="10"/>
            <w:tabs>
              <w:tab w:val="right" w:leader="dot" w:pos="9468"/>
            </w:tabs>
          </w:pPr>
          <w:r>
            <w:fldChar w:fldCharType="begin"/>
          </w:r>
          <w:r>
            <w:instrText xml:space="preserve"> HYPERLINK \l _Toc17389 </w:instrText>
          </w:r>
          <w:r>
            <w:fldChar w:fldCharType="separate"/>
          </w:r>
          <w:r>
            <w:rPr>
              <w:rFonts w:hint="eastAsia"/>
            </w:rPr>
            <w:t>问题</w:t>
          </w:r>
          <w:r>
            <w:t>1：学校采购预算如何申报?</w:t>
          </w:r>
          <w:r>
            <w:tab/>
          </w:r>
          <w:r>
            <w:fldChar w:fldCharType="begin"/>
          </w:r>
          <w:r>
            <w:instrText xml:space="preserve"> PAGEREF _Toc17389 \h </w:instrText>
          </w:r>
          <w:r>
            <w:fldChar w:fldCharType="separate"/>
          </w:r>
          <w:r>
            <w:t>11</w:t>
          </w:r>
          <w:r>
            <w:fldChar w:fldCharType="end"/>
          </w:r>
          <w:r>
            <w:fldChar w:fldCharType="end"/>
          </w:r>
        </w:p>
        <w:p w14:paraId="77E78641">
          <w:pPr>
            <w:pStyle w:val="10"/>
            <w:tabs>
              <w:tab w:val="right" w:leader="dot" w:pos="9468"/>
            </w:tabs>
          </w:pPr>
          <w:r>
            <w:fldChar w:fldCharType="begin"/>
          </w:r>
          <w:r>
            <w:instrText xml:space="preserve"> HYPERLINK \l _Toc9605 </w:instrText>
          </w:r>
          <w:r>
            <w:fldChar w:fldCharType="separate"/>
          </w:r>
          <w:r>
            <w:rPr>
              <w:rFonts w:hint="eastAsia"/>
            </w:rPr>
            <w:t>问题</w:t>
          </w:r>
          <w:r>
            <w:t>2：政府采购预算必须单独申报吗？</w:t>
          </w:r>
          <w:r>
            <w:tab/>
          </w:r>
          <w:r>
            <w:fldChar w:fldCharType="begin"/>
          </w:r>
          <w:r>
            <w:instrText xml:space="preserve"> PAGEREF _Toc9605 \h </w:instrText>
          </w:r>
          <w:r>
            <w:fldChar w:fldCharType="separate"/>
          </w:r>
          <w:r>
            <w:t>11</w:t>
          </w:r>
          <w:r>
            <w:fldChar w:fldCharType="end"/>
          </w:r>
          <w:r>
            <w:fldChar w:fldCharType="end"/>
          </w:r>
        </w:p>
        <w:p w14:paraId="486EBB43">
          <w:pPr>
            <w:pStyle w:val="10"/>
            <w:tabs>
              <w:tab w:val="right" w:leader="dot" w:pos="9468"/>
            </w:tabs>
          </w:pPr>
          <w:r>
            <w:fldChar w:fldCharType="begin"/>
          </w:r>
          <w:r>
            <w:instrText xml:space="preserve"> HYPERLINK \l _Toc1257 </w:instrText>
          </w:r>
          <w:r>
            <w:fldChar w:fldCharType="separate"/>
          </w:r>
          <w:r>
            <w:rPr>
              <w:rFonts w:hint="eastAsia"/>
            </w:rPr>
            <w:t>问题</w:t>
          </w:r>
          <w:r>
            <w:t>3：项目的采购预算如何确定？</w:t>
          </w:r>
          <w:r>
            <w:tab/>
          </w:r>
          <w:r>
            <w:fldChar w:fldCharType="begin"/>
          </w:r>
          <w:r>
            <w:instrText xml:space="preserve"> PAGEREF _Toc1257 \h </w:instrText>
          </w:r>
          <w:r>
            <w:fldChar w:fldCharType="separate"/>
          </w:r>
          <w:r>
            <w:t>11</w:t>
          </w:r>
          <w:r>
            <w:fldChar w:fldCharType="end"/>
          </w:r>
          <w:r>
            <w:fldChar w:fldCharType="end"/>
          </w:r>
        </w:p>
        <w:p w14:paraId="4FC2E5AE">
          <w:pPr>
            <w:pStyle w:val="10"/>
            <w:tabs>
              <w:tab w:val="right" w:leader="dot" w:pos="9468"/>
            </w:tabs>
          </w:pPr>
          <w:r>
            <w:fldChar w:fldCharType="begin"/>
          </w:r>
          <w:r>
            <w:instrText xml:space="preserve"> HYPERLINK \l _Toc23338 </w:instrText>
          </w:r>
          <w:r>
            <w:fldChar w:fldCharType="separate"/>
          </w:r>
          <w:r>
            <w:rPr>
              <w:rFonts w:hint="eastAsia"/>
            </w:rPr>
            <w:t>问题</w:t>
          </w:r>
          <w:r>
            <w:t>4：什么情形可以追加采购预算？</w:t>
          </w:r>
          <w:r>
            <w:tab/>
          </w:r>
          <w:r>
            <w:fldChar w:fldCharType="begin"/>
          </w:r>
          <w:r>
            <w:instrText xml:space="preserve"> PAGEREF _Toc23338 \h </w:instrText>
          </w:r>
          <w:r>
            <w:fldChar w:fldCharType="separate"/>
          </w:r>
          <w:r>
            <w:t>12</w:t>
          </w:r>
          <w:r>
            <w:fldChar w:fldCharType="end"/>
          </w:r>
          <w:r>
            <w:fldChar w:fldCharType="end"/>
          </w:r>
        </w:p>
        <w:p w14:paraId="00D344F0">
          <w:pPr>
            <w:pStyle w:val="9"/>
            <w:tabs>
              <w:tab w:val="right" w:leader="dot" w:pos="9468"/>
            </w:tabs>
          </w:pPr>
          <w:r>
            <w:fldChar w:fldCharType="begin"/>
          </w:r>
          <w:r>
            <w:instrText xml:space="preserve"> HYPERLINK \l _Toc14415 </w:instrText>
          </w:r>
          <w:r>
            <w:fldChar w:fldCharType="separate"/>
          </w:r>
          <w:r>
            <w:rPr>
              <w:rFonts w:hint="eastAsia"/>
            </w:rPr>
            <w:t>·合同签订、履约验收及档案管理篇</w:t>
          </w:r>
          <w:r>
            <w:tab/>
          </w:r>
          <w:r>
            <w:fldChar w:fldCharType="begin"/>
          </w:r>
          <w:r>
            <w:instrText xml:space="preserve"> PAGEREF _Toc14415 \h </w:instrText>
          </w:r>
          <w:r>
            <w:fldChar w:fldCharType="separate"/>
          </w:r>
          <w:r>
            <w:t>12</w:t>
          </w:r>
          <w:r>
            <w:fldChar w:fldCharType="end"/>
          </w:r>
          <w:r>
            <w:fldChar w:fldCharType="end"/>
          </w:r>
        </w:p>
        <w:p w14:paraId="1D0CF5BF">
          <w:pPr>
            <w:pStyle w:val="10"/>
            <w:tabs>
              <w:tab w:val="right" w:leader="dot" w:pos="9468"/>
            </w:tabs>
          </w:pPr>
          <w:r>
            <w:fldChar w:fldCharType="begin"/>
          </w:r>
          <w:r>
            <w:instrText xml:space="preserve"> HYPERLINK \l _Toc2457 </w:instrText>
          </w:r>
          <w:r>
            <w:fldChar w:fldCharType="separate"/>
          </w:r>
          <w:r>
            <w:rPr>
              <w:rFonts w:hint="eastAsia"/>
            </w:rPr>
            <w:t>问题</w:t>
          </w:r>
          <w:r>
            <w:t>1：中标结果公示需要多久?</w:t>
          </w:r>
          <w:r>
            <w:tab/>
          </w:r>
          <w:r>
            <w:fldChar w:fldCharType="begin"/>
          </w:r>
          <w:r>
            <w:instrText xml:space="preserve"> PAGEREF _Toc2457 \h </w:instrText>
          </w:r>
          <w:r>
            <w:fldChar w:fldCharType="separate"/>
          </w:r>
          <w:r>
            <w:t>12</w:t>
          </w:r>
          <w:r>
            <w:fldChar w:fldCharType="end"/>
          </w:r>
          <w:r>
            <w:fldChar w:fldCharType="end"/>
          </w:r>
        </w:p>
        <w:p w14:paraId="0293702C">
          <w:pPr>
            <w:pStyle w:val="10"/>
            <w:tabs>
              <w:tab w:val="right" w:leader="dot" w:pos="9468"/>
            </w:tabs>
          </w:pPr>
          <w:r>
            <w:fldChar w:fldCharType="begin"/>
          </w:r>
          <w:r>
            <w:instrText xml:space="preserve"> HYPERLINK \l _Toc572 </w:instrText>
          </w:r>
          <w:r>
            <w:fldChar w:fldCharType="separate"/>
          </w:r>
          <w:r>
            <w:rPr>
              <w:rFonts w:hint="eastAsia"/>
            </w:rPr>
            <w:t>问题</w:t>
          </w:r>
          <w:r>
            <w:t>2：</w:t>
          </w:r>
          <w:r>
            <w:rPr>
              <w:rFonts w:hint="eastAsia"/>
            </w:rPr>
            <w:t>合同签订需要注意什么？</w:t>
          </w:r>
          <w:r>
            <w:tab/>
          </w:r>
          <w:r>
            <w:fldChar w:fldCharType="begin"/>
          </w:r>
          <w:r>
            <w:instrText xml:space="preserve"> PAGEREF _Toc572 \h </w:instrText>
          </w:r>
          <w:r>
            <w:fldChar w:fldCharType="separate"/>
          </w:r>
          <w:r>
            <w:t>13</w:t>
          </w:r>
          <w:r>
            <w:fldChar w:fldCharType="end"/>
          </w:r>
          <w:r>
            <w:fldChar w:fldCharType="end"/>
          </w:r>
        </w:p>
        <w:p w14:paraId="20580DB3">
          <w:pPr>
            <w:pStyle w:val="10"/>
            <w:tabs>
              <w:tab w:val="right" w:leader="dot" w:pos="9468"/>
            </w:tabs>
          </w:pPr>
          <w:r>
            <w:fldChar w:fldCharType="begin"/>
          </w:r>
          <w:r>
            <w:instrText xml:space="preserve"> HYPERLINK \l _Toc7868 </w:instrText>
          </w:r>
          <w:r>
            <w:fldChar w:fldCharType="separate"/>
          </w:r>
          <w:r>
            <w:rPr>
              <w:rFonts w:hint="eastAsia"/>
            </w:rPr>
            <w:t>问题</w:t>
          </w:r>
          <w:r>
            <w:t>3：如何签订追加标的</w:t>
          </w:r>
          <w:r>
            <w:rPr>
              <w:rFonts w:hint="eastAsia"/>
            </w:rPr>
            <w:t>的补充合同？</w:t>
          </w:r>
          <w:r>
            <w:tab/>
          </w:r>
          <w:r>
            <w:fldChar w:fldCharType="begin"/>
          </w:r>
          <w:r>
            <w:instrText xml:space="preserve"> PAGEREF _Toc7868 \h </w:instrText>
          </w:r>
          <w:r>
            <w:fldChar w:fldCharType="separate"/>
          </w:r>
          <w:r>
            <w:t>13</w:t>
          </w:r>
          <w:r>
            <w:fldChar w:fldCharType="end"/>
          </w:r>
          <w:r>
            <w:fldChar w:fldCharType="end"/>
          </w:r>
        </w:p>
        <w:p w14:paraId="0847A7E4">
          <w:pPr>
            <w:pStyle w:val="10"/>
            <w:tabs>
              <w:tab w:val="right" w:leader="dot" w:pos="9468"/>
            </w:tabs>
          </w:pPr>
          <w:r>
            <w:fldChar w:fldCharType="begin"/>
          </w:r>
          <w:r>
            <w:instrText xml:space="preserve"> HYPERLINK \l _Toc4656 </w:instrText>
          </w:r>
          <w:r>
            <w:fldChar w:fldCharType="separate"/>
          </w:r>
          <w:r>
            <w:rPr>
              <w:rFonts w:hint="eastAsia"/>
            </w:rPr>
            <w:t>问题</w:t>
          </w:r>
          <w:r>
            <w:t>4：档案管理注意事项？</w:t>
          </w:r>
          <w:r>
            <w:tab/>
          </w:r>
          <w:r>
            <w:fldChar w:fldCharType="begin"/>
          </w:r>
          <w:r>
            <w:instrText xml:space="preserve"> PAGEREF _Toc4656 \h </w:instrText>
          </w:r>
          <w:r>
            <w:fldChar w:fldCharType="separate"/>
          </w:r>
          <w:r>
            <w:t>13</w:t>
          </w:r>
          <w:r>
            <w:fldChar w:fldCharType="end"/>
          </w:r>
          <w:r>
            <w:fldChar w:fldCharType="end"/>
          </w:r>
        </w:p>
        <w:p w14:paraId="3E6A98B8">
          <w:pPr>
            <w:pStyle w:val="9"/>
            <w:tabs>
              <w:tab w:val="right" w:leader="dot" w:pos="9468"/>
            </w:tabs>
          </w:pPr>
          <w:r>
            <w:fldChar w:fldCharType="begin"/>
          </w:r>
          <w:r>
            <w:instrText xml:space="preserve"> HYPERLINK \l _Toc2152 </w:instrText>
          </w:r>
          <w:r>
            <w:fldChar w:fldCharType="separate"/>
          </w:r>
          <w:r>
            <w:rPr>
              <w:rFonts w:hint="eastAsia"/>
            </w:rPr>
            <w:t>·校采资系统篇</w:t>
          </w:r>
          <w:r>
            <w:tab/>
          </w:r>
          <w:r>
            <w:fldChar w:fldCharType="begin"/>
          </w:r>
          <w:r>
            <w:instrText xml:space="preserve"> PAGEREF _Toc2152 \h </w:instrText>
          </w:r>
          <w:r>
            <w:fldChar w:fldCharType="separate"/>
          </w:r>
          <w:r>
            <w:t>14</w:t>
          </w:r>
          <w:r>
            <w:fldChar w:fldCharType="end"/>
          </w:r>
          <w:r>
            <w:fldChar w:fldCharType="end"/>
          </w:r>
        </w:p>
        <w:p w14:paraId="00E52AC2">
          <w:pPr>
            <w:pStyle w:val="10"/>
            <w:tabs>
              <w:tab w:val="right" w:leader="dot" w:pos="9468"/>
            </w:tabs>
          </w:pPr>
          <w:r>
            <w:fldChar w:fldCharType="begin"/>
          </w:r>
          <w:r>
            <w:instrText xml:space="preserve"> HYPERLINK \l _Toc29109 </w:instrText>
          </w:r>
          <w:r>
            <w:fldChar w:fldCharType="separate"/>
          </w:r>
          <w:r>
            <w:rPr>
              <w:rFonts w:hint="eastAsia"/>
            </w:rPr>
            <w:t>问题</w:t>
          </w:r>
          <w:r>
            <w:t>1</w:t>
          </w:r>
          <w:r>
            <w:rPr>
              <w:rFonts w:hint="eastAsia"/>
            </w:rPr>
            <w:t>：如何访问校采资系统？</w:t>
          </w:r>
          <w:r>
            <w:tab/>
          </w:r>
          <w:r>
            <w:fldChar w:fldCharType="begin"/>
          </w:r>
          <w:r>
            <w:instrText xml:space="preserve"> PAGEREF _Toc29109 \h </w:instrText>
          </w:r>
          <w:r>
            <w:fldChar w:fldCharType="separate"/>
          </w:r>
          <w:r>
            <w:t>14</w:t>
          </w:r>
          <w:r>
            <w:fldChar w:fldCharType="end"/>
          </w:r>
          <w:r>
            <w:fldChar w:fldCharType="end"/>
          </w:r>
        </w:p>
        <w:p w14:paraId="19CD02F5">
          <w:pPr>
            <w:pStyle w:val="9"/>
            <w:tabs>
              <w:tab w:val="right" w:leader="dot" w:pos="9468"/>
            </w:tabs>
          </w:pPr>
          <w:r>
            <w:fldChar w:fldCharType="begin"/>
          </w:r>
          <w:r>
            <w:instrText xml:space="preserve"> HYPERLINK \l _Toc22752 </w:instrText>
          </w:r>
          <w:r>
            <w:fldChar w:fldCharType="separate"/>
          </w:r>
          <w:r>
            <w:rPr>
              <w:rFonts w:hint="eastAsia"/>
            </w:rPr>
            <w:t>·风险防控篇</w:t>
          </w:r>
          <w:r>
            <w:tab/>
          </w:r>
          <w:r>
            <w:fldChar w:fldCharType="begin"/>
          </w:r>
          <w:r>
            <w:instrText xml:space="preserve"> PAGEREF _Toc22752 \h </w:instrText>
          </w:r>
          <w:r>
            <w:fldChar w:fldCharType="separate"/>
          </w:r>
          <w:r>
            <w:t>14</w:t>
          </w:r>
          <w:r>
            <w:fldChar w:fldCharType="end"/>
          </w:r>
          <w:r>
            <w:fldChar w:fldCharType="end"/>
          </w:r>
        </w:p>
        <w:p w14:paraId="0D3B6ADD">
          <w:pPr>
            <w:pStyle w:val="10"/>
            <w:tabs>
              <w:tab w:val="right" w:leader="dot" w:pos="9468"/>
            </w:tabs>
          </w:pPr>
          <w:r>
            <w:fldChar w:fldCharType="begin"/>
          </w:r>
          <w:r>
            <w:instrText xml:space="preserve"> HYPERLINK \l _Toc25947 </w:instrText>
          </w:r>
          <w:r>
            <w:fldChar w:fldCharType="separate"/>
          </w:r>
          <w:r>
            <w:rPr>
              <w:rFonts w:hint="eastAsia"/>
            </w:rPr>
            <w:t>问题</w:t>
          </w:r>
          <w:r>
            <w:t>1：什么情况属于化整为零规避政府采购？</w:t>
          </w:r>
          <w:r>
            <w:tab/>
          </w:r>
          <w:r>
            <w:fldChar w:fldCharType="begin"/>
          </w:r>
          <w:r>
            <w:instrText xml:space="preserve"> PAGEREF _Toc25947 \h </w:instrText>
          </w:r>
          <w:r>
            <w:fldChar w:fldCharType="separate"/>
          </w:r>
          <w:r>
            <w:t>14</w:t>
          </w:r>
          <w:r>
            <w:fldChar w:fldCharType="end"/>
          </w:r>
          <w:r>
            <w:fldChar w:fldCharType="end"/>
          </w:r>
        </w:p>
        <w:p w14:paraId="29B026F9">
          <w:pPr>
            <w:pStyle w:val="10"/>
            <w:tabs>
              <w:tab w:val="right" w:leader="dot" w:pos="9468"/>
            </w:tabs>
            <w:sectPr>
              <w:footerReference r:id="rId6" w:type="default"/>
              <w:pgSz w:w="11906" w:h="16838"/>
              <w:pgMar w:top="1440" w:right="1134" w:bottom="1191" w:left="1304" w:header="851" w:footer="992" w:gutter="0"/>
              <w:pgNumType w:start="1"/>
              <w:cols w:space="425" w:num="1"/>
              <w:docGrid w:type="lines" w:linePitch="312" w:charSpace="0"/>
            </w:sectPr>
          </w:pPr>
        </w:p>
        <w:p w14:paraId="143F5D5D">
          <w:pPr>
            <w:pStyle w:val="10"/>
            <w:tabs>
              <w:tab w:val="right" w:leader="dot" w:pos="9468"/>
            </w:tabs>
          </w:pPr>
          <w:r>
            <w:fldChar w:fldCharType="begin"/>
          </w:r>
          <w:r>
            <w:instrText xml:space="preserve"> HYPERLINK \l _Toc14435 </w:instrText>
          </w:r>
          <w:r>
            <w:fldChar w:fldCharType="separate"/>
          </w:r>
          <w:r>
            <w:rPr>
              <w:rFonts w:hint="eastAsia"/>
            </w:rPr>
            <w:t>问题</w:t>
          </w:r>
          <w:r>
            <w:t>2：如何建立“化整为零”的防控机制？</w:t>
          </w:r>
          <w:r>
            <w:tab/>
          </w:r>
          <w:r>
            <w:fldChar w:fldCharType="begin"/>
          </w:r>
          <w:r>
            <w:instrText xml:space="preserve"> PAGEREF _Toc14435 \h </w:instrText>
          </w:r>
          <w:r>
            <w:fldChar w:fldCharType="separate"/>
          </w:r>
          <w:r>
            <w:t>15</w:t>
          </w:r>
          <w:r>
            <w:fldChar w:fldCharType="end"/>
          </w:r>
          <w:r>
            <w:fldChar w:fldCharType="end"/>
          </w:r>
        </w:p>
        <w:p w14:paraId="17288F4C">
          <w:pPr>
            <w:pStyle w:val="10"/>
            <w:tabs>
              <w:tab w:val="right" w:leader="dot" w:pos="9468"/>
            </w:tabs>
          </w:pPr>
          <w:r>
            <w:fldChar w:fldCharType="begin"/>
          </w:r>
          <w:r>
            <w:instrText xml:space="preserve"> HYPERLINK \l _Toc23183 </w:instrText>
          </w:r>
          <w:r>
            <w:fldChar w:fldCharType="separate"/>
          </w:r>
          <w:r>
            <w:rPr>
              <w:rFonts w:hint="eastAsia"/>
            </w:rPr>
            <w:t>问题</w:t>
          </w:r>
          <w:r>
            <w:t>3：什么情况属于化整为零规避公开招标？</w:t>
          </w:r>
          <w:r>
            <w:tab/>
          </w:r>
          <w:r>
            <w:fldChar w:fldCharType="begin"/>
          </w:r>
          <w:r>
            <w:instrText xml:space="preserve"> PAGEREF _Toc23183 \h </w:instrText>
          </w:r>
          <w:r>
            <w:fldChar w:fldCharType="separate"/>
          </w:r>
          <w:r>
            <w:t>15</w:t>
          </w:r>
          <w:r>
            <w:fldChar w:fldCharType="end"/>
          </w:r>
          <w:r>
            <w:fldChar w:fldCharType="end"/>
          </w:r>
        </w:p>
        <w:p w14:paraId="6AAF1BEB">
          <w:pPr>
            <w:pStyle w:val="10"/>
            <w:tabs>
              <w:tab w:val="right" w:leader="dot" w:pos="9468"/>
            </w:tabs>
          </w:pPr>
          <w:r>
            <w:fldChar w:fldCharType="begin"/>
          </w:r>
          <w:r>
            <w:instrText xml:space="preserve"> HYPERLINK \l _Toc21554 </w:instrText>
          </w:r>
          <w:r>
            <w:fldChar w:fldCharType="separate"/>
          </w:r>
          <w:r>
            <w:rPr>
              <w:rFonts w:hint="eastAsia"/>
            </w:rPr>
            <w:t>问题</w:t>
          </w:r>
          <w:r>
            <w:t>4：二级单位采购环节需要注意哪些事项？</w:t>
          </w:r>
          <w:r>
            <w:tab/>
          </w:r>
          <w:r>
            <w:fldChar w:fldCharType="begin"/>
          </w:r>
          <w:r>
            <w:instrText xml:space="preserve"> PAGEREF _Toc21554 \h </w:instrText>
          </w:r>
          <w:r>
            <w:fldChar w:fldCharType="separate"/>
          </w:r>
          <w:r>
            <w:t>15</w:t>
          </w:r>
          <w:r>
            <w:fldChar w:fldCharType="end"/>
          </w:r>
          <w:r>
            <w:fldChar w:fldCharType="end"/>
          </w:r>
        </w:p>
        <w:p w14:paraId="48C4B891">
          <w:pPr>
            <w:pStyle w:val="10"/>
            <w:tabs>
              <w:tab w:val="right" w:leader="dot" w:pos="9468"/>
            </w:tabs>
          </w:pPr>
          <w:r>
            <w:fldChar w:fldCharType="begin"/>
          </w:r>
          <w:r>
            <w:instrText xml:space="preserve"> HYPERLINK \l _Toc28938 </w:instrText>
          </w:r>
          <w:r>
            <w:fldChar w:fldCharType="separate"/>
          </w:r>
          <w:r>
            <w:rPr>
              <w:rFonts w:hint="eastAsia"/>
            </w:rPr>
            <w:t>问题5：二级单位作为采购的主体，主体责任是什么？</w:t>
          </w:r>
          <w:r>
            <w:tab/>
          </w:r>
          <w:r>
            <w:fldChar w:fldCharType="begin"/>
          </w:r>
          <w:r>
            <w:instrText xml:space="preserve"> PAGEREF _Toc28938 \h </w:instrText>
          </w:r>
          <w:r>
            <w:fldChar w:fldCharType="separate"/>
          </w:r>
          <w:r>
            <w:t>16</w:t>
          </w:r>
          <w:r>
            <w:fldChar w:fldCharType="end"/>
          </w:r>
          <w:r>
            <w:fldChar w:fldCharType="end"/>
          </w:r>
        </w:p>
        <w:p w14:paraId="4179C5C9">
          <w:pPr>
            <w:pStyle w:val="10"/>
            <w:tabs>
              <w:tab w:val="right" w:leader="dot" w:pos="9468"/>
            </w:tabs>
          </w:pPr>
          <w:r>
            <w:fldChar w:fldCharType="begin"/>
          </w:r>
          <w:r>
            <w:instrText xml:space="preserve"> HYPERLINK \l _Toc16043 </w:instrText>
          </w:r>
          <w:r>
            <w:fldChar w:fldCharType="separate"/>
          </w:r>
          <w:r>
            <w:rPr>
              <w:rFonts w:hint="eastAsia"/>
            </w:rPr>
            <w:t>问题6：各采购管理员的职责是什么？</w:t>
          </w:r>
          <w:r>
            <w:tab/>
          </w:r>
          <w:r>
            <w:fldChar w:fldCharType="begin"/>
          </w:r>
          <w:r>
            <w:instrText xml:space="preserve"> PAGEREF _Toc16043 \h </w:instrText>
          </w:r>
          <w:r>
            <w:fldChar w:fldCharType="separate"/>
          </w:r>
          <w:r>
            <w:t>16</w:t>
          </w:r>
          <w:r>
            <w:fldChar w:fldCharType="end"/>
          </w:r>
          <w:r>
            <w:fldChar w:fldCharType="end"/>
          </w:r>
        </w:p>
        <w:p w14:paraId="73A398A4">
          <w:pPr>
            <w:pStyle w:val="9"/>
            <w:tabs>
              <w:tab w:val="right" w:leader="dot" w:pos="9468"/>
            </w:tabs>
          </w:pPr>
          <w:r>
            <w:fldChar w:fldCharType="begin"/>
          </w:r>
          <w:r>
            <w:instrText xml:space="preserve"> HYPERLINK \l _Toc25848 </w:instrText>
          </w:r>
          <w:r>
            <w:fldChar w:fldCharType="separate"/>
          </w:r>
          <w:r>
            <w:rPr>
              <w:rFonts w:hint="eastAsia"/>
            </w:rPr>
            <w:t>·业务咨询与联系方式</w:t>
          </w:r>
          <w:r>
            <w:tab/>
          </w:r>
          <w:r>
            <w:fldChar w:fldCharType="begin"/>
          </w:r>
          <w:r>
            <w:instrText xml:space="preserve"> PAGEREF _Toc25848 \h </w:instrText>
          </w:r>
          <w:r>
            <w:fldChar w:fldCharType="separate"/>
          </w:r>
          <w:r>
            <w:t>16</w:t>
          </w:r>
          <w:r>
            <w:fldChar w:fldCharType="end"/>
          </w:r>
          <w:r>
            <w:fldChar w:fldCharType="end"/>
          </w:r>
        </w:p>
        <w:p w14:paraId="79F60E4F">
          <w:pPr>
            <w:sectPr>
              <w:footerReference r:id="rId7" w:type="default"/>
              <w:pgSz w:w="11906" w:h="16838"/>
              <w:pgMar w:top="1440" w:right="1134" w:bottom="1191" w:left="1304" w:header="851" w:footer="992" w:gutter="0"/>
              <w:pgNumType w:start="1"/>
              <w:cols w:space="425" w:num="1"/>
              <w:docGrid w:type="lines" w:linePitch="312" w:charSpace="0"/>
            </w:sectPr>
          </w:pPr>
          <w:r>
            <w:fldChar w:fldCharType="end"/>
          </w:r>
        </w:p>
      </w:sdtContent>
    </w:sdt>
    <w:p w14:paraId="61EB53A1"/>
    <w:p w14:paraId="696D7134">
      <w:pPr>
        <w:pStyle w:val="2"/>
        <w:bidi w:val="0"/>
      </w:pPr>
      <w:bookmarkStart w:id="0" w:name="_Toc14826"/>
      <w:r>
        <w:rPr>
          <w:rFonts w:hint="eastAsia"/>
        </w:rPr>
        <w:t>·通用基础篇</w:t>
      </w:r>
      <w:bookmarkEnd w:id="0"/>
    </w:p>
    <w:p w14:paraId="106A9174">
      <w:pPr>
        <w:pStyle w:val="3"/>
        <w:bidi w:val="0"/>
      </w:pPr>
      <w:bookmarkStart w:id="1" w:name="_Toc8283"/>
      <w:r>
        <w:rPr>
          <w:rFonts w:hint="eastAsia"/>
        </w:rPr>
        <w:t>问题1：什么是政府采购？</w:t>
      </w:r>
      <w:bookmarkEnd w:id="1"/>
    </w:p>
    <w:p w14:paraId="5735EBAE">
      <w:pPr>
        <w:bidi w:val="0"/>
      </w:pPr>
      <w:r>
        <w:rPr>
          <w:rFonts w:hint="eastAsia"/>
          <w:b/>
          <w:bCs/>
        </w:rPr>
        <w:t>答复</w:t>
      </w:r>
      <w:r>
        <w:rPr>
          <w:rFonts w:hint="eastAsia"/>
        </w:rPr>
        <w:t>：</w:t>
      </w:r>
      <w:r>
        <w:rPr>
          <w:rFonts w:hint="eastAsia"/>
          <w:b/>
          <w:bCs/>
        </w:rPr>
        <w:t>政府采购</w:t>
      </w:r>
      <w:r>
        <w:rPr>
          <w:rFonts w:hint="eastAsia"/>
        </w:rPr>
        <w:t>是指各级国家机关、事业单位和团体组织，使用财政性资金采购依法制定的集中采购目录以内的或者采购限额标准以上的货物、工程和服务的行为。这里所称采购，是指以合同方式有偿取得货物、工程和服务的行为，包括购买、租赁、委托、雇用等。通俗地说，学校政府采购管理实施办法中所称政府采购，是指在一个年度内，单项或批量采购预算金额达到分散采购限额标准，或在福建省政府集中采购目录内且金额起点以上的货物、服务和工程。二级单位自行采购项目、直接采购项目及福建省政府采购网上公开信息系统自行采购项目（以下简称“省平台自采项目”）不属于真正的政府采购。</w:t>
      </w:r>
    </w:p>
    <w:p w14:paraId="30D92045">
      <w:pPr>
        <w:pStyle w:val="3"/>
        <w:bidi w:val="0"/>
        <w:rPr>
          <w:rFonts w:hint="eastAsia"/>
          <w:b/>
        </w:rPr>
      </w:pPr>
      <w:bookmarkStart w:id="2" w:name="_Toc25209"/>
      <w:r>
        <w:rPr>
          <w:rFonts w:hint="eastAsia"/>
          <w:b/>
        </w:rPr>
        <w:t>问题2：财政性资金是指什么？</w:t>
      </w:r>
      <w:bookmarkEnd w:id="2"/>
    </w:p>
    <w:p w14:paraId="14B7C8F7">
      <w:pPr>
        <w:bidi w:val="0"/>
      </w:pPr>
      <w:r>
        <w:rPr>
          <w:rFonts w:hint="eastAsia"/>
          <w:b/>
          <w:bCs/>
        </w:rPr>
        <w:t>答复</w:t>
      </w:r>
      <w:r>
        <w:rPr>
          <w:rFonts w:hint="eastAsia"/>
        </w:rPr>
        <w:t>：财政性资金是指纳入预算管理的资金。以财政性资金作为还款来源的借贷资金，视同财政性资金。国家机关、事业单位和团体组织的采购项目既使用财政性资金又使用非财政性资金的，使用财政性资金采购的部门，适用政府采购法及其条例；财政性资金与非财政性资金无法分割采购的，统一适用政府采购法及其条例。</w:t>
      </w:r>
    </w:p>
    <w:p w14:paraId="0B5302A0">
      <w:pPr>
        <w:pStyle w:val="3"/>
        <w:bidi w:val="0"/>
        <w:rPr>
          <w:rFonts w:hint="eastAsia"/>
          <w:b/>
        </w:rPr>
      </w:pPr>
      <w:bookmarkStart w:id="3" w:name="_Toc10945"/>
      <w:r>
        <w:rPr>
          <w:rFonts w:hint="eastAsia"/>
          <w:b/>
        </w:rPr>
        <w:t>问题3：学校招标采购业务主要包含哪些范围？</w:t>
      </w:r>
      <w:bookmarkEnd w:id="3"/>
    </w:p>
    <w:p w14:paraId="0A985AA4">
      <w:pPr>
        <w:bidi w:val="0"/>
      </w:pPr>
      <w:r>
        <w:rPr>
          <w:rFonts w:hint="eastAsia"/>
          <w:b/>
          <w:bCs/>
        </w:rPr>
        <w:t>答复</w:t>
      </w:r>
      <w:r>
        <w:rPr>
          <w:rFonts w:hint="eastAsia"/>
        </w:rPr>
        <w:t>：学校招标采购业务主要涵盖货物类、服务类、工程类三大板块，具体包含教学科研设备采购、办公物资采购、服务外包、修缮改造工程、信息化建设项目等。所有使用学校财政性资金、纳入预算管理的资金开展的采购活动，均需按照学校采购管理办法执行。</w:t>
      </w:r>
    </w:p>
    <w:p w14:paraId="744B07B3">
      <w:pPr>
        <w:pStyle w:val="3"/>
        <w:bidi w:val="0"/>
        <w:rPr>
          <w:rFonts w:hint="eastAsia"/>
          <w:b/>
        </w:rPr>
      </w:pPr>
      <w:bookmarkStart w:id="4" w:name="_Toc6448"/>
      <w:r>
        <w:rPr>
          <w:rFonts w:hint="eastAsia"/>
          <w:b/>
        </w:rPr>
        <w:t>问题4：学校招标采购项目采购前需要完成哪些前置手续？</w:t>
      </w:r>
      <w:bookmarkEnd w:id="4"/>
    </w:p>
    <w:p w14:paraId="7D735E87">
      <w:pPr>
        <w:bidi w:val="0"/>
      </w:pPr>
      <w:r>
        <w:rPr>
          <w:rFonts w:hint="eastAsia"/>
          <w:b/>
          <w:bCs/>
        </w:rPr>
        <w:t>答复</w:t>
      </w:r>
      <w:r>
        <w:rPr>
          <w:rFonts w:hint="eastAsia"/>
        </w:rPr>
        <w:t>：学校招标采购项目在采购前必须完成项目立项（包括询价、论证等）、经费审批、预算下达等，根据项目金额、类型及适用情形来判定采购方式，按学校采购相关规定在学校采购与资产一体化管理系统（以下简称“校采资系统”）上提交采购申请。采购申请流程审批完毕，项目才进行招标采购环节。</w:t>
      </w:r>
    </w:p>
    <w:p w14:paraId="4DFE4EAA">
      <w:pPr>
        <w:bidi w:val="0"/>
      </w:pPr>
    </w:p>
    <w:p w14:paraId="301C9FB5">
      <w:pPr>
        <w:pStyle w:val="3"/>
        <w:bidi w:val="0"/>
        <w:rPr>
          <w:rFonts w:hint="eastAsia"/>
          <w:b/>
        </w:rPr>
      </w:pPr>
      <w:bookmarkStart w:id="5" w:name="_Toc24191"/>
      <w:r>
        <w:rPr>
          <w:rFonts w:hint="eastAsia"/>
          <w:b/>
        </w:rPr>
        <w:t>问题5：采购申请前需要准备什么材料？</w:t>
      </w:r>
      <w:bookmarkEnd w:id="5"/>
    </w:p>
    <w:p w14:paraId="5527B553">
      <w:pPr>
        <w:spacing w:line="360" w:lineRule="exact"/>
        <w:rPr>
          <w:rFonts w:ascii="仿宋" w:hAnsi="仿宋" w:eastAsia="仿宋"/>
          <w:b/>
          <w:bCs/>
          <w:sz w:val="28"/>
          <w:szCs w:val="28"/>
        </w:rPr>
      </w:pPr>
      <w:r>
        <w:rPr>
          <w:rFonts w:hint="eastAsia" w:ascii="仿宋" w:hAnsi="仿宋" w:eastAsia="仿宋"/>
          <w:b/>
          <w:bCs/>
          <w:sz w:val="28"/>
          <w:szCs w:val="28"/>
        </w:rPr>
        <w:t>答复：</w:t>
      </w:r>
    </w:p>
    <w:tbl>
      <w:tblPr>
        <w:tblStyle w:val="12"/>
        <w:tblW w:w="9915" w:type="dxa"/>
        <w:jc w:val="center"/>
        <w:tblLayout w:type="fixed"/>
        <w:tblCellMar>
          <w:top w:w="0" w:type="dxa"/>
          <w:left w:w="0" w:type="dxa"/>
          <w:bottom w:w="0" w:type="dxa"/>
          <w:right w:w="0" w:type="dxa"/>
        </w:tblCellMar>
      </w:tblPr>
      <w:tblGrid>
        <w:gridCol w:w="1552"/>
        <w:gridCol w:w="1559"/>
        <w:gridCol w:w="992"/>
        <w:gridCol w:w="709"/>
        <w:gridCol w:w="709"/>
        <w:gridCol w:w="708"/>
        <w:gridCol w:w="709"/>
        <w:gridCol w:w="851"/>
        <w:gridCol w:w="1275"/>
        <w:gridCol w:w="567"/>
        <w:gridCol w:w="284"/>
      </w:tblGrid>
      <w:tr w14:paraId="687BFB03">
        <w:tblPrEx>
          <w:tblCellMar>
            <w:top w:w="0" w:type="dxa"/>
            <w:left w:w="0" w:type="dxa"/>
            <w:bottom w:w="0" w:type="dxa"/>
            <w:right w:w="0" w:type="dxa"/>
          </w:tblCellMar>
        </w:tblPrEx>
        <w:trPr>
          <w:trHeight w:val="530" w:hRule="atLeast"/>
          <w:jc w:val="center"/>
        </w:trPr>
        <w:tc>
          <w:tcPr>
            <w:tcW w:w="155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6F64116F">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采购项目类型</w:t>
            </w:r>
          </w:p>
        </w:tc>
        <w:tc>
          <w:tcPr>
            <w:tcW w:w="155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6CFDB8D2">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采购方式</w:t>
            </w:r>
          </w:p>
        </w:tc>
        <w:tc>
          <w:tcPr>
            <w:tcW w:w="99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5CA846E6">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指定品牌</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EB4D413">
            <w:pPr>
              <w:widowControl/>
              <w:spacing w:before="100" w:beforeAutospacing="1" w:after="100" w:afterAutospacing="1"/>
              <w:jc w:val="center"/>
              <w:rPr>
                <w:rFonts w:ascii="等线" w:hAnsi="等线" w:eastAsia="等线" w:cs="宋体"/>
                <w:b/>
                <w:bCs/>
                <w:kern w:val="0"/>
                <w:sz w:val="15"/>
                <w:szCs w:val="15"/>
              </w:rPr>
            </w:pPr>
            <w:r>
              <w:rPr>
                <w:rFonts w:hint="eastAsia" w:ascii="等线" w:hAnsi="等线" w:eastAsia="等线" w:cs="宋体"/>
                <w:b/>
                <w:bCs/>
                <w:kern w:val="0"/>
                <w:sz w:val="15"/>
                <w:szCs w:val="15"/>
              </w:rPr>
              <w:t>询价单</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A38B3AC">
            <w:pPr>
              <w:widowControl/>
              <w:spacing w:before="100" w:beforeAutospacing="1" w:after="100" w:afterAutospacing="1"/>
              <w:rPr>
                <w:rFonts w:ascii="宋体" w:hAnsi="宋体" w:eastAsia="宋体" w:cs="宋体"/>
                <w:b/>
                <w:bCs/>
                <w:kern w:val="0"/>
                <w:sz w:val="15"/>
                <w:szCs w:val="15"/>
              </w:rPr>
            </w:pPr>
            <w:r>
              <w:rPr>
                <w:rFonts w:hint="eastAsia" w:ascii="等线" w:hAnsi="等线" w:eastAsia="等线" w:cs="宋体"/>
                <w:b/>
                <w:bCs/>
                <w:kern w:val="0"/>
                <w:sz w:val="15"/>
                <w:szCs w:val="15"/>
              </w:rPr>
              <w:t xml:space="preserve">报 价材 </w:t>
            </w:r>
            <w:r>
              <w:rPr>
                <w:rFonts w:ascii="等线" w:hAnsi="等线" w:eastAsia="等线" w:cs="宋体"/>
                <w:b/>
                <w:bCs/>
                <w:kern w:val="0"/>
                <w:sz w:val="15"/>
                <w:szCs w:val="15"/>
              </w:rPr>
              <w:t xml:space="preserve"> </w:t>
            </w:r>
            <w:r>
              <w:rPr>
                <w:rFonts w:hint="eastAsia" w:ascii="等线" w:hAnsi="等线" w:eastAsia="等线" w:cs="宋体"/>
                <w:b/>
                <w:bCs/>
                <w:kern w:val="0"/>
                <w:sz w:val="15"/>
                <w:szCs w:val="15"/>
              </w:rPr>
              <w:t>料</w:t>
            </w:r>
          </w:p>
        </w:tc>
        <w:tc>
          <w:tcPr>
            <w:tcW w:w="708"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2C518E00">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会 议纪 要</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FC15889">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具体参数要求</w:t>
            </w:r>
          </w:p>
        </w:tc>
        <w:tc>
          <w:tcPr>
            <w:tcW w:w="851"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76E64FF">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贵重论证</w:t>
            </w:r>
          </w:p>
        </w:tc>
        <w:tc>
          <w:tcPr>
            <w:tcW w:w="1275"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12573AF">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需求调查表等</w:t>
            </w:r>
          </w:p>
        </w:tc>
        <w:tc>
          <w:tcPr>
            <w:tcW w:w="567"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4D3F3BD">
            <w:pPr>
              <w:widowControl/>
              <w:spacing w:before="100" w:beforeAutospacing="1" w:after="100" w:afterAutospacing="1"/>
              <w:jc w:val="center"/>
              <w:rPr>
                <w:rFonts w:ascii="宋体" w:hAnsi="宋体" w:eastAsia="宋体" w:cs="宋体"/>
                <w:b/>
                <w:bCs/>
                <w:kern w:val="0"/>
                <w:sz w:val="15"/>
                <w:szCs w:val="15"/>
              </w:rPr>
            </w:pPr>
            <w:r>
              <w:rPr>
                <w:rFonts w:hint="eastAsia" w:ascii="等线" w:hAnsi="等线" w:eastAsia="等线" w:cs="宋体"/>
                <w:b/>
                <w:bCs/>
                <w:kern w:val="0"/>
                <w:sz w:val="15"/>
                <w:szCs w:val="15"/>
              </w:rPr>
              <w:t>经费材料</w:t>
            </w:r>
          </w:p>
        </w:tc>
        <w:tc>
          <w:tcPr>
            <w:tcW w:w="284"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123A7A8C">
            <w:pPr>
              <w:widowControl/>
              <w:spacing w:before="100" w:beforeAutospacing="1" w:after="100" w:afterAutospacing="1"/>
              <w:jc w:val="center"/>
              <w:rPr>
                <w:rFonts w:ascii="宋体" w:hAnsi="宋体" w:eastAsia="宋体" w:cs="宋体"/>
                <w:b/>
                <w:bCs/>
                <w:kern w:val="0"/>
                <w:sz w:val="15"/>
                <w:szCs w:val="15"/>
              </w:rPr>
            </w:pPr>
            <w:r>
              <w:rPr>
                <w:rFonts w:hint="eastAsia" w:ascii="宋体" w:hAnsi="宋体" w:eastAsia="宋体" w:cs="宋体"/>
                <w:b/>
                <w:bCs/>
                <w:kern w:val="0"/>
                <w:sz w:val="15"/>
                <w:szCs w:val="15"/>
              </w:rPr>
              <w:t>备注</w:t>
            </w:r>
          </w:p>
        </w:tc>
      </w:tr>
      <w:tr w14:paraId="55E59478">
        <w:tblPrEx>
          <w:tblCellMar>
            <w:top w:w="0" w:type="dxa"/>
            <w:left w:w="0" w:type="dxa"/>
            <w:bottom w:w="0" w:type="dxa"/>
            <w:right w:w="0" w:type="dxa"/>
          </w:tblCellMar>
        </w:tblPrEx>
        <w:trPr>
          <w:trHeight w:val="733" w:hRule="atLeast"/>
          <w:jc w:val="center"/>
        </w:trPr>
        <w:tc>
          <w:tcPr>
            <w:tcW w:w="155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7599E18">
            <w:pPr>
              <w:widowControl/>
              <w:spacing w:before="100" w:beforeAutospacing="1" w:after="100" w:afterAutospacing="1"/>
              <w:jc w:val="left"/>
              <w:rPr>
                <w:rFonts w:ascii="宋体" w:hAnsi="宋体" w:eastAsia="宋体" w:cs="宋体"/>
                <w:kern w:val="0"/>
                <w:sz w:val="15"/>
                <w:szCs w:val="15"/>
              </w:rPr>
            </w:pPr>
            <w:r>
              <w:rPr>
                <w:rFonts w:hint="eastAsia" w:ascii="等线" w:hAnsi="等线" w:eastAsia="等线" w:cs="宋体"/>
                <w:kern w:val="0"/>
                <w:sz w:val="15"/>
                <w:szCs w:val="15"/>
              </w:rPr>
              <w:t>科研项目预算</w:t>
            </w:r>
            <w:r>
              <w:rPr>
                <w:rFonts w:hint="eastAsia" w:ascii="宋体" w:hAnsi="宋体" w:eastAsia="宋体" w:cs="宋体"/>
                <w:kern w:val="0"/>
                <w:sz w:val="15"/>
                <w:szCs w:val="15"/>
              </w:rPr>
              <w:t>≥</w:t>
            </w:r>
            <w:r>
              <w:rPr>
                <w:rFonts w:hint="eastAsia" w:ascii="等线" w:hAnsi="等线" w:eastAsia="等线" w:cs="宋体"/>
                <w:kern w:val="0"/>
                <w:sz w:val="15"/>
                <w:szCs w:val="15"/>
              </w:rPr>
              <w:t>10万元，</w:t>
            </w:r>
            <w:r>
              <w:rPr>
                <w:rFonts w:hint="eastAsia" w:ascii="宋体" w:hAnsi="宋体" w:eastAsia="宋体" w:cs="宋体"/>
                <w:kern w:val="0"/>
                <w:sz w:val="15"/>
                <w:szCs w:val="15"/>
              </w:rPr>
              <w:t>＜</w:t>
            </w:r>
            <w:r>
              <w:rPr>
                <w:rFonts w:hint="eastAsia" w:ascii="等线" w:hAnsi="等线" w:eastAsia="等线" w:cs="宋体"/>
                <w:kern w:val="0"/>
                <w:sz w:val="15"/>
                <w:szCs w:val="15"/>
              </w:rPr>
              <w:t>30万元货物、服务项目</w:t>
            </w:r>
          </w:p>
        </w:tc>
        <w:tc>
          <w:tcPr>
            <w:tcW w:w="155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412F029">
            <w:pPr>
              <w:widowControl/>
              <w:spacing w:before="100" w:beforeAutospacing="1" w:after="100" w:afterAutospacing="1"/>
              <w:jc w:val="left"/>
              <w:rPr>
                <w:rFonts w:ascii="等线" w:hAnsi="等线" w:eastAsia="等线" w:cs="宋体"/>
                <w:kern w:val="0"/>
                <w:sz w:val="15"/>
                <w:szCs w:val="15"/>
              </w:rPr>
            </w:pPr>
            <w:r>
              <w:rPr>
                <w:rFonts w:hint="eastAsia" w:ascii="等线" w:hAnsi="等线" w:eastAsia="等线" w:cs="宋体"/>
                <w:kern w:val="0"/>
                <w:sz w:val="15"/>
                <w:szCs w:val="15"/>
              </w:rPr>
              <w:t>校内网上竞价（最低成交或综合成交）</w:t>
            </w:r>
          </w:p>
        </w:tc>
        <w:tc>
          <w:tcPr>
            <w:tcW w:w="992"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25942F09">
            <w:pPr>
              <w:widowControl/>
              <w:spacing w:before="100" w:beforeAutospacing="1" w:after="100" w:afterAutospacing="1"/>
              <w:jc w:val="left"/>
              <w:rPr>
                <w:rFonts w:ascii="宋体" w:hAnsi="宋体" w:eastAsia="宋体" w:cs="宋体"/>
                <w:kern w:val="0"/>
                <w:sz w:val="15"/>
                <w:szCs w:val="15"/>
              </w:rPr>
            </w:pPr>
            <w:r>
              <w:rPr>
                <w:rFonts w:hint="eastAsia" w:ascii="等线" w:hAnsi="等线" w:eastAsia="等线" w:cs="宋体"/>
                <w:kern w:val="0"/>
                <w:sz w:val="15"/>
                <w:szCs w:val="15"/>
              </w:rPr>
              <w:t>指定品牌论证意见表</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0DD3374">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010BB20D">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8"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8BA4615">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5D1F77A8">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851"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1B3E6025">
            <w:pPr>
              <w:widowControl/>
              <w:spacing w:before="100" w:beforeAutospacing="1" w:after="100" w:afterAutospacing="1"/>
              <w:jc w:val="left"/>
              <w:rPr>
                <w:rFonts w:ascii="宋体" w:hAnsi="宋体" w:eastAsia="宋体" w:cs="宋体"/>
                <w:kern w:val="0"/>
                <w:sz w:val="15"/>
                <w:szCs w:val="15"/>
              </w:rPr>
            </w:pPr>
            <w:r>
              <w:rPr>
                <w:rFonts w:hint="eastAsia" w:ascii="等线" w:hAnsi="等线" w:eastAsia="等线" w:cs="宋体"/>
                <w:kern w:val="0"/>
                <w:sz w:val="15"/>
                <w:szCs w:val="15"/>
              </w:rPr>
              <w:t>设备软件</w:t>
            </w:r>
            <w:r>
              <w:rPr>
                <w:rFonts w:hint="eastAsia" w:ascii="等线" w:hAnsi="等线" w:eastAsia="等线" w:cs="宋体"/>
                <w:b/>
                <w:bCs/>
                <w:kern w:val="0"/>
                <w:sz w:val="15"/>
                <w:szCs w:val="15"/>
              </w:rPr>
              <w:t>单台件</w:t>
            </w:r>
            <w:r>
              <w:rPr>
                <w:rFonts w:hint="eastAsia" w:ascii="宋体" w:hAnsi="宋体" w:eastAsia="宋体" w:cs="宋体"/>
                <w:kern w:val="0"/>
                <w:sz w:val="15"/>
                <w:szCs w:val="15"/>
              </w:rPr>
              <w:t>≥</w:t>
            </w:r>
            <w:r>
              <w:rPr>
                <w:rFonts w:hint="eastAsia" w:ascii="等线" w:hAnsi="等线" w:eastAsia="等线" w:cs="宋体"/>
                <w:b/>
                <w:bCs/>
                <w:kern w:val="0"/>
                <w:sz w:val="15"/>
                <w:szCs w:val="15"/>
              </w:rPr>
              <w:t>10万元</w:t>
            </w:r>
          </w:p>
          <w:p w14:paraId="42FB2570">
            <w:pPr>
              <w:widowControl/>
              <w:spacing w:before="100" w:beforeAutospacing="1" w:after="100" w:afterAutospacing="1"/>
              <w:jc w:val="left"/>
              <w:rPr>
                <w:rFonts w:ascii="宋体" w:hAnsi="宋体" w:eastAsia="宋体" w:cs="宋体"/>
                <w:kern w:val="0"/>
                <w:sz w:val="15"/>
                <w:szCs w:val="15"/>
              </w:rPr>
            </w:pPr>
          </w:p>
          <w:p w14:paraId="37D803CB">
            <w:pPr>
              <w:widowControl/>
              <w:spacing w:before="100" w:beforeAutospacing="1" w:after="100" w:afterAutospacing="1"/>
              <w:jc w:val="left"/>
              <w:rPr>
                <w:rFonts w:ascii="宋体" w:hAnsi="宋体" w:eastAsia="宋体" w:cs="宋体"/>
                <w:kern w:val="0"/>
                <w:sz w:val="15"/>
                <w:szCs w:val="15"/>
              </w:rPr>
            </w:pPr>
            <w:r>
              <w:rPr>
                <w:rFonts w:ascii="宋体" w:hAnsi="宋体" w:eastAsia="宋体" w:cs="宋体"/>
                <w:kern w:val="0"/>
                <w:sz w:val="15"/>
                <w:szCs w:val="15"/>
              </w:rPr>
              <w:t> </w:t>
            </w:r>
          </w:p>
        </w:tc>
        <w:tc>
          <w:tcPr>
            <w:tcW w:w="1275"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5164EDF">
            <w:pPr>
              <w:widowControl/>
              <w:spacing w:before="100" w:beforeAutospacing="1" w:after="100" w:afterAutospacing="1" w:line="240" w:lineRule="exact"/>
              <w:rPr>
                <w:rFonts w:ascii="宋体" w:hAnsi="宋体" w:eastAsia="宋体" w:cs="宋体"/>
                <w:kern w:val="0"/>
                <w:sz w:val="15"/>
                <w:szCs w:val="15"/>
              </w:rPr>
            </w:pPr>
            <w:r>
              <w:rPr>
                <w:rFonts w:hint="eastAsia" w:ascii="等线" w:hAnsi="等线" w:eastAsia="等线" w:cs="宋体"/>
                <w:kern w:val="0"/>
                <w:sz w:val="15"/>
                <w:szCs w:val="15"/>
              </w:rPr>
              <w:t>项目预算≥300万元；涉及公共利益、社会关注度较高的采购项目；技术复杂、专业性较强的项目，包括需定制开发的信息化建设项目；采购进口产品的项目等</w:t>
            </w:r>
          </w:p>
        </w:tc>
        <w:tc>
          <w:tcPr>
            <w:tcW w:w="567"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4524ABA">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科研项目上传备查</w:t>
            </w:r>
          </w:p>
        </w:tc>
        <w:tc>
          <w:tcPr>
            <w:tcW w:w="284"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1409C55F">
            <w:pPr>
              <w:widowControl/>
              <w:spacing w:before="100" w:beforeAutospacing="1" w:after="100" w:afterAutospacing="1"/>
              <w:jc w:val="center"/>
              <w:rPr>
                <w:rFonts w:ascii="宋体" w:hAnsi="宋体" w:eastAsia="宋体" w:cs="宋体"/>
                <w:kern w:val="0"/>
                <w:sz w:val="15"/>
                <w:szCs w:val="15"/>
              </w:rPr>
            </w:pPr>
          </w:p>
        </w:tc>
      </w:tr>
      <w:tr w14:paraId="4FFD568F">
        <w:tblPrEx>
          <w:tblCellMar>
            <w:top w:w="0" w:type="dxa"/>
            <w:left w:w="0" w:type="dxa"/>
            <w:bottom w:w="0" w:type="dxa"/>
            <w:right w:w="0" w:type="dxa"/>
          </w:tblCellMar>
        </w:tblPrEx>
        <w:trPr>
          <w:trHeight w:val="1050" w:hRule="atLeast"/>
          <w:jc w:val="center"/>
        </w:trPr>
        <w:tc>
          <w:tcPr>
            <w:tcW w:w="1552"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637D99F5">
            <w:pPr>
              <w:widowControl/>
              <w:spacing w:before="100" w:beforeAutospacing="1" w:after="100" w:afterAutospacing="1"/>
              <w:jc w:val="left"/>
              <w:rPr>
                <w:rFonts w:ascii="宋体" w:hAnsi="宋体" w:eastAsia="宋体" w:cs="宋体"/>
                <w:kern w:val="0"/>
                <w:sz w:val="15"/>
                <w:szCs w:val="15"/>
              </w:rPr>
            </w:pPr>
            <w:r>
              <w:rPr>
                <w:rFonts w:hint="eastAsia" w:ascii="宋体" w:hAnsi="宋体" w:eastAsia="宋体" w:cs="宋体"/>
                <w:kern w:val="0"/>
                <w:sz w:val="15"/>
                <w:szCs w:val="15"/>
              </w:rPr>
              <w:t>项目预算≥</w:t>
            </w:r>
            <w:r>
              <w:rPr>
                <w:rFonts w:hint="eastAsia" w:ascii="等线" w:hAnsi="等线" w:eastAsia="等线" w:cs="宋体"/>
                <w:kern w:val="0"/>
                <w:sz w:val="15"/>
                <w:szCs w:val="15"/>
              </w:rPr>
              <w:t>3万元，</w:t>
            </w:r>
            <w:r>
              <w:rPr>
                <w:rFonts w:hint="eastAsia" w:ascii="宋体" w:hAnsi="宋体" w:eastAsia="宋体" w:cs="宋体"/>
                <w:kern w:val="0"/>
                <w:sz w:val="15"/>
                <w:szCs w:val="15"/>
              </w:rPr>
              <w:t>＜</w:t>
            </w:r>
            <w:r>
              <w:rPr>
                <w:rFonts w:hint="eastAsia" w:ascii="等线" w:hAnsi="等线" w:eastAsia="等线" w:cs="宋体"/>
                <w:kern w:val="0"/>
                <w:sz w:val="15"/>
                <w:szCs w:val="15"/>
              </w:rPr>
              <w:t>10万元二级单位自行采购项目</w:t>
            </w:r>
          </w:p>
        </w:tc>
        <w:tc>
          <w:tcPr>
            <w:tcW w:w="1559"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64882817">
            <w:pPr>
              <w:widowControl/>
              <w:spacing w:before="100" w:beforeAutospacing="1" w:after="100" w:afterAutospacing="1"/>
              <w:jc w:val="left"/>
              <w:rPr>
                <w:rFonts w:ascii="等线" w:hAnsi="等线" w:eastAsia="等线" w:cs="宋体"/>
                <w:kern w:val="0"/>
                <w:sz w:val="15"/>
                <w:szCs w:val="15"/>
              </w:rPr>
            </w:pPr>
            <w:r>
              <w:rPr>
                <w:rFonts w:hint="eastAsia" w:ascii="等线" w:hAnsi="等线" w:eastAsia="等线" w:cs="宋体"/>
                <w:kern w:val="0"/>
                <w:sz w:val="15"/>
                <w:szCs w:val="15"/>
              </w:rPr>
              <w:t>校内网上竞价（最低成交或综合成交）</w:t>
            </w:r>
          </w:p>
        </w:tc>
        <w:tc>
          <w:tcPr>
            <w:tcW w:w="992" w:type="dxa"/>
            <w:vMerge w:val="continue"/>
            <w:tcBorders>
              <w:top w:val="single" w:color="080000" w:sz="6" w:space="0"/>
              <w:left w:val="single" w:color="080000" w:sz="6" w:space="0"/>
              <w:bottom w:val="single" w:color="080000" w:sz="6" w:space="0"/>
              <w:right w:val="single" w:color="080000" w:sz="6" w:space="0"/>
            </w:tcBorders>
            <w:vAlign w:val="center"/>
          </w:tcPr>
          <w:p w14:paraId="5676DD43">
            <w:pPr>
              <w:widowControl/>
              <w:jc w:val="left"/>
              <w:rPr>
                <w:rFonts w:ascii="宋体" w:hAnsi="宋体" w:eastAsia="宋体" w:cs="宋体"/>
                <w:kern w:val="0"/>
                <w:sz w:val="15"/>
                <w:szCs w:val="15"/>
              </w:rPr>
            </w:pPr>
          </w:p>
        </w:tc>
        <w:tc>
          <w:tcPr>
            <w:tcW w:w="709"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29132430">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9"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5E601EE6">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8"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288E591D">
            <w:pPr>
              <w:widowControl/>
              <w:spacing w:before="100" w:beforeAutospacing="1" w:after="100" w:afterAutospacing="1"/>
              <w:jc w:val="center"/>
              <w:rPr>
                <w:rFonts w:ascii="宋体" w:hAnsi="宋体" w:eastAsia="宋体" w:cs="宋体"/>
                <w:b/>
                <w:bCs/>
                <w:kern w:val="0"/>
                <w:sz w:val="15"/>
                <w:szCs w:val="15"/>
              </w:rPr>
            </w:pPr>
            <w:r>
              <w:rPr>
                <w:rFonts w:hint="eastAsia" w:ascii="宋体" w:hAnsi="宋体" w:eastAsia="宋体" w:cs="Arial"/>
                <w:b/>
                <w:bCs/>
                <w:kern w:val="0"/>
                <w:sz w:val="15"/>
                <w:szCs w:val="15"/>
              </w:rPr>
              <w:t>×</w:t>
            </w:r>
            <w:r>
              <w:rPr>
                <w:rFonts w:hint="eastAsia" w:ascii="宋体" w:hAnsi="宋体" w:eastAsia="宋体" w:cs="宋体"/>
                <w:b/>
                <w:bCs/>
                <w:kern w:val="0"/>
                <w:sz w:val="15"/>
                <w:szCs w:val="15"/>
              </w:rPr>
              <w:t> </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7FD752A">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851" w:type="dxa"/>
            <w:vMerge w:val="continue"/>
            <w:tcBorders>
              <w:top w:val="single" w:color="080000" w:sz="6" w:space="0"/>
              <w:left w:val="single" w:color="080000" w:sz="6" w:space="0"/>
              <w:bottom w:val="single" w:color="080000" w:sz="6" w:space="0"/>
              <w:right w:val="single" w:color="080000" w:sz="6" w:space="0"/>
            </w:tcBorders>
            <w:vAlign w:val="center"/>
          </w:tcPr>
          <w:p w14:paraId="5184BEF9">
            <w:pPr>
              <w:widowControl/>
              <w:jc w:val="left"/>
              <w:rPr>
                <w:rFonts w:ascii="宋体" w:hAnsi="宋体" w:eastAsia="宋体" w:cs="宋体"/>
                <w:kern w:val="0"/>
                <w:sz w:val="15"/>
                <w:szCs w:val="15"/>
              </w:rPr>
            </w:pPr>
          </w:p>
        </w:tc>
        <w:tc>
          <w:tcPr>
            <w:tcW w:w="1275" w:type="dxa"/>
            <w:vMerge w:val="continue"/>
            <w:tcBorders>
              <w:top w:val="single" w:color="080000" w:sz="6" w:space="0"/>
              <w:left w:val="single" w:color="080000" w:sz="6" w:space="0"/>
              <w:bottom w:val="single" w:color="080000" w:sz="6" w:space="0"/>
              <w:right w:val="single" w:color="080000" w:sz="6" w:space="0"/>
            </w:tcBorders>
            <w:vAlign w:val="center"/>
          </w:tcPr>
          <w:p w14:paraId="6C9F33E4">
            <w:pPr>
              <w:widowControl/>
              <w:jc w:val="left"/>
              <w:rPr>
                <w:rFonts w:ascii="宋体" w:hAnsi="宋体" w:eastAsia="宋体" w:cs="宋体"/>
                <w:kern w:val="0"/>
                <w:sz w:val="15"/>
                <w:szCs w:val="15"/>
              </w:rPr>
            </w:pPr>
          </w:p>
        </w:tc>
        <w:tc>
          <w:tcPr>
            <w:tcW w:w="567" w:type="dxa"/>
            <w:vMerge w:val="continue"/>
            <w:tcBorders>
              <w:top w:val="single" w:color="080000" w:sz="6" w:space="0"/>
              <w:left w:val="single" w:color="080000" w:sz="6" w:space="0"/>
              <w:bottom w:val="single" w:color="080000" w:sz="6" w:space="0"/>
              <w:right w:val="single" w:color="080000" w:sz="6" w:space="0"/>
            </w:tcBorders>
            <w:vAlign w:val="center"/>
          </w:tcPr>
          <w:p w14:paraId="32969F13">
            <w:pPr>
              <w:widowControl/>
              <w:jc w:val="left"/>
              <w:rPr>
                <w:rFonts w:ascii="宋体" w:hAnsi="宋体" w:eastAsia="宋体" w:cs="宋体"/>
                <w:kern w:val="0"/>
                <w:sz w:val="15"/>
                <w:szCs w:val="15"/>
              </w:rPr>
            </w:pPr>
          </w:p>
        </w:tc>
        <w:tc>
          <w:tcPr>
            <w:tcW w:w="284" w:type="dxa"/>
            <w:vMerge w:val="continue"/>
            <w:tcBorders>
              <w:top w:val="single" w:color="080000" w:sz="6" w:space="0"/>
              <w:left w:val="single" w:color="080000" w:sz="6" w:space="0"/>
              <w:bottom w:val="single" w:color="080000" w:sz="6" w:space="0"/>
              <w:right w:val="single" w:color="080000" w:sz="6" w:space="0"/>
            </w:tcBorders>
            <w:vAlign w:val="center"/>
          </w:tcPr>
          <w:p w14:paraId="57616F72">
            <w:pPr>
              <w:widowControl/>
              <w:jc w:val="left"/>
              <w:rPr>
                <w:rFonts w:ascii="宋体" w:hAnsi="宋体" w:eastAsia="宋体" w:cs="宋体"/>
                <w:kern w:val="0"/>
                <w:sz w:val="15"/>
                <w:szCs w:val="15"/>
              </w:rPr>
            </w:pPr>
          </w:p>
        </w:tc>
      </w:tr>
      <w:tr w14:paraId="712AEF72">
        <w:tblPrEx>
          <w:tblCellMar>
            <w:top w:w="0" w:type="dxa"/>
            <w:left w:w="0" w:type="dxa"/>
            <w:bottom w:w="0" w:type="dxa"/>
            <w:right w:w="0" w:type="dxa"/>
          </w:tblCellMar>
        </w:tblPrEx>
        <w:trPr>
          <w:trHeight w:val="312" w:hRule="atLeast"/>
          <w:jc w:val="center"/>
        </w:trPr>
        <w:tc>
          <w:tcPr>
            <w:tcW w:w="1552" w:type="dxa"/>
            <w:vMerge w:val="continue"/>
            <w:tcBorders>
              <w:top w:val="single" w:color="080000" w:sz="6" w:space="0"/>
              <w:left w:val="single" w:color="080000" w:sz="6" w:space="0"/>
              <w:bottom w:val="single" w:color="080000" w:sz="6" w:space="0"/>
              <w:right w:val="single" w:color="080000" w:sz="6" w:space="0"/>
            </w:tcBorders>
            <w:vAlign w:val="center"/>
          </w:tcPr>
          <w:p w14:paraId="44EE863D">
            <w:pPr>
              <w:widowControl/>
              <w:jc w:val="left"/>
              <w:rPr>
                <w:rFonts w:ascii="宋体" w:hAnsi="宋体" w:eastAsia="宋体" w:cs="宋体"/>
                <w:kern w:val="0"/>
                <w:sz w:val="15"/>
                <w:szCs w:val="15"/>
              </w:rPr>
            </w:pPr>
          </w:p>
        </w:tc>
        <w:tc>
          <w:tcPr>
            <w:tcW w:w="1559" w:type="dxa"/>
            <w:vMerge w:val="continue"/>
            <w:tcBorders>
              <w:top w:val="single" w:color="080000" w:sz="6" w:space="0"/>
              <w:left w:val="single" w:color="080000" w:sz="6" w:space="0"/>
              <w:bottom w:val="single" w:color="080000" w:sz="6" w:space="0"/>
              <w:right w:val="single" w:color="080000" w:sz="6" w:space="0"/>
            </w:tcBorders>
            <w:vAlign w:val="center"/>
          </w:tcPr>
          <w:p w14:paraId="0DA0A748">
            <w:pPr>
              <w:widowControl/>
              <w:jc w:val="left"/>
              <w:rPr>
                <w:rFonts w:ascii="等线" w:hAnsi="等线" w:eastAsia="等线" w:cs="宋体"/>
                <w:kern w:val="0"/>
                <w:sz w:val="15"/>
                <w:szCs w:val="15"/>
              </w:rPr>
            </w:pPr>
          </w:p>
        </w:tc>
        <w:tc>
          <w:tcPr>
            <w:tcW w:w="992" w:type="dxa"/>
            <w:vMerge w:val="continue"/>
            <w:tcBorders>
              <w:top w:val="single" w:color="080000" w:sz="6" w:space="0"/>
              <w:left w:val="single" w:color="080000" w:sz="6" w:space="0"/>
              <w:bottom w:val="single" w:color="080000" w:sz="6" w:space="0"/>
              <w:right w:val="single" w:color="080000" w:sz="6" w:space="0"/>
            </w:tcBorders>
            <w:vAlign w:val="center"/>
          </w:tcPr>
          <w:p w14:paraId="673E35D1">
            <w:pPr>
              <w:widowControl/>
              <w:jc w:val="left"/>
              <w:rPr>
                <w:rFonts w:ascii="宋体" w:hAnsi="宋体" w:eastAsia="宋体" w:cs="宋体"/>
                <w:kern w:val="0"/>
                <w:sz w:val="15"/>
                <w:szCs w:val="15"/>
              </w:rPr>
            </w:pPr>
          </w:p>
        </w:tc>
        <w:tc>
          <w:tcPr>
            <w:tcW w:w="709" w:type="dxa"/>
            <w:vMerge w:val="continue"/>
            <w:tcBorders>
              <w:top w:val="single" w:color="080000" w:sz="6" w:space="0"/>
              <w:left w:val="single" w:color="080000" w:sz="6" w:space="0"/>
              <w:bottom w:val="single" w:color="080000" w:sz="6" w:space="0"/>
              <w:right w:val="single" w:color="080000" w:sz="6" w:space="0"/>
            </w:tcBorders>
            <w:vAlign w:val="center"/>
          </w:tcPr>
          <w:p w14:paraId="58A389C3">
            <w:pPr>
              <w:widowControl/>
              <w:jc w:val="left"/>
              <w:rPr>
                <w:rFonts w:ascii="宋体" w:hAnsi="宋体" w:eastAsia="宋体" w:cs="宋体"/>
                <w:kern w:val="0"/>
                <w:sz w:val="15"/>
                <w:szCs w:val="15"/>
              </w:rPr>
            </w:pPr>
          </w:p>
        </w:tc>
        <w:tc>
          <w:tcPr>
            <w:tcW w:w="709" w:type="dxa"/>
            <w:vMerge w:val="continue"/>
            <w:tcBorders>
              <w:top w:val="single" w:color="080000" w:sz="6" w:space="0"/>
              <w:left w:val="single" w:color="080000" w:sz="6" w:space="0"/>
              <w:bottom w:val="single" w:color="080000" w:sz="6" w:space="0"/>
              <w:right w:val="single" w:color="080000" w:sz="6" w:space="0"/>
            </w:tcBorders>
            <w:vAlign w:val="center"/>
          </w:tcPr>
          <w:p w14:paraId="14E8DAD4">
            <w:pPr>
              <w:widowControl/>
              <w:jc w:val="left"/>
              <w:rPr>
                <w:rFonts w:ascii="宋体" w:hAnsi="宋体" w:eastAsia="宋体" w:cs="宋体"/>
                <w:kern w:val="0"/>
                <w:sz w:val="15"/>
                <w:szCs w:val="15"/>
              </w:rPr>
            </w:pPr>
          </w:p>
        </w:tc>
        <w:tc>
          <w:tcPr>
            <w:tcW w:w="708" w:type="dxa"/>
            <w:vMerge w:val="continue"/>
            <w:tcBorders>
              <w:top w:val="single" w:color="080000" w:sz="6" w:space="0"/>
              <w:left w:val="single" w:color="080000" w:sz="6" w:space="0"/>
              <w:bottom w:val="single" w:color="080000" w:sz="6" w:space="0"/>
              <w:right w:val="single" w:color="080000" w:sz="6" w:space="0"/>
            </w:tcBorders>
            <w:vAlign w:val="center"/>
          </w:tcPr>
          <w:p w14:paraId="441FBA73">
            <w:pPr>
              <w:widowControl/>
              <w:jc w:val="left"/>
              <w:rPr>
                <w:rFonts w:ascii="宋体" w:hAnsi="宋体" w:eastAsia="宋体" w:cs="宋体"/>
                <w:kern w:val="0"/>
                <w:sz w:val="15"/>
                <w:szCs w:val="15"/>
              </w:rPr>
            </w:pPr>
          </w:p>
        </w:tc>
        <w:tc>
          <w:tcPr>
            <w:tcW w:w="709" w:type="dxa"/>
            <w:vMerge w:val="restart"/>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1040B9E7">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851" w:type="dxa"/>
            <w:vMerge w:val="continue"/>
            <w:tcBorders>
              <w:top w:val="single" w:color="080000" w:sz="6" w:space="0"/>
              <w:left w:val="single" w:color="080000" w:sz="6" w:space="0"/>
              <w:bottom w:val="single" w:color="080000" w:sz="6" w:space="0"/>
              <w:right w:val="single" w:color="080000" w:sz="6" w:space="0"/>
            </w:tcBorders>
            <w:vAlign w:val="center"/>
          </w:tcPr>
          <w:p w14:paraId="1E288A84">
            <w:pPr>
              <w:widowControl/>
              <w:jc w:val="left"/>
              <w:rPr>
                <w:rFonts w:ascii="宋体" w:hAnsi="宋体" w:eastAsia="宋体" w:cs="宋体"/>
                <w:kern w:val="0"/>
                <w:sz w:val="15"/>
                <w:szCs w:val="15"/>
              </w:rPr>
            </w:pPr>
          </w:p>
        </w:tc>
        <w:tc>
          <w:tcPr>
            <w:tcW w:w="1275" w:type="dxa"/>
            <w:vMerge w:val="continue"/>
            <w:tcBorders>
              <w:top w:val="single" w:color="080000" w:sz="6" w:space="0"/>
              <w:left w:val="single" w:color="080000" w:sz="6" w:space="0"/>
              <w:bottom w:val="single" w:color="080000" w:sz="6" w:space="0"/>
              <w:right w:val="single" w:color="080000" w:sz="6" w:space="0"/>
            </w:tcBorders>
            <w:vAlign w:val="center"/>
          </w:tcPr>
          <w:p w14:paraId="1456BB41">
            <w:pPr>
              <w:widowControl/>
              <w:jc w:val="left"/>
              <w:rPr>
                <w:rFonts w:ascii="宋体" w:hAnsi="宋体" w:eastAsia="宋体" w:cs="宋体"/>
                <w:kern w:val="0"/>
                <w:sz w:val="15"/>
                <w:szCs w:val="15"/>
              </w:rPr>
            </w:pPr>
          </w:p>
        </w:tc>
        <w:tc>
          <w:tcPr>
            <w:tcW w:w="567" w:type="dxa"/>
            <w:vMerge w:val="continue"/>
            <w:tcBorders>
              <w:top w:val="single" w:color="080000" w:sz="6" w:space="0"/>
              <w:left w:val="single" w:color="080000" w:sz="6" w:space="0"/>
              <w:bottom w:val="single" w:color="080000" w:sz="6" w:space="0"/>
              <w:right w:val="single" w:color="080000" w:sz="6" w:space="0"/>
            </w:tcBorders>
            <w:vAlign w:val="center"/>
          </w:tcPr>
          <w:p w14:paraId="5E5A6329">
            <w:pPr>
              <w:widowControl/>
              <w:jc w:val="left"/>
              <w:rPr>
                <w:rFonts w:ascii="宋体" w:hAnsi="宋体" w:eastAsia="宋体" w:cs="宋体"/>
                <w:kern w:val="0"/>
                <w:sz w:val="15"/>
                <w:szCs w:val="15"/>
              </w:rPr>
            </w:pPr>
          </w:p>
        </w:tc>
        <w:tc>
          <w:tcPr>
            <w:tcW w:w="284" w:type="dxa"/>
            <w:vMerge w:val="continue"/>
            <w:tcBorders>
              <w:top w:val="single" w:color="080000" w:sz="6" w:space="0"/>
              <w:left w:val="single" w:color="080000" w:sz="6" w:space="0"/>
              <w:bottom w:val="single" w:color="080000" w:sz="6" w:space="0"/>
              <w:right w:val="single" w:color="080000" w:sz="6" w:space="0"/>
            </w:tcBorders>
            <w:vAlign w:val="center"/>
          </w:tcPr>
          <w:p w14:paraId="4C9AFEB9">
            <w:pPr>
              <w:widowControl/>
              <w:jc w:val="left"/>
              <w:rPr>
                <w:rFonts w:ascii="宋体" w:hAnsi="宋体" w:eastAsia="宋体" w:cs="宋体"/>
                <w:kern w:val="0"/>
                <w:sz w:val="15"/>
                <w:szCs w:val="15"/>
              </w:rPr>
            </w:pPr>
          </w:p>
        </w:tc>
      </w:tr>
      <w:tr w14:paraId="689C070E">
        <w:tblPrEx>
          <w:tblCellMar>
            <w:top w:w="0" w:type="dxa"/>
            <w:left w:w="0" w:type="dxa"/>
            <w:bottom w:w="0" w:type="dxa"/>
            <w:right w:w="0" w:type="dxa"/>
          </w:tblCellMar>
        </w:tblPrEx>
        <w:trPr>
          <w:trHeight w:val="376" w:hRule="atLeast"/>
          <w:jc w:val="center"/>
        </w:trPr>
        <w:tc>
          <w:tcPr>
            <w:tcW w:w="1552" w:type="dxa"/>
            <w:vMerge w:val="continue"/>
            <w:tcBorders>
              <w:top w:val="single" w:color="080000" w:sz="6" w:space="0"/>
              <w:left w:val="single" w:color="080000" w:sz="6" w:space="0"/>
              <w:bottom w:val="single" w:color="080000" w:sz="6" w:space="0"/>
              <w:right w:val="single" w:color="080000" w:sz="6" w:space="0"/>
            </w:tcBorders>
            <w:vAlign w:val="center"/>
          </w:tcPr>
          <w:p w14:paraId="1730EC5E">
            <w:pPr>
              <w:widowControl/>
              <w:jc w:val="left"/>
              <w:rPr>
                <w:rFonts w:ascii="宋体" w:hAnsi="宋体" w:eastAsia="宋体" w:cs="宋体"/>
                <w:kern w:val="0"/>
                <w:sz w:val="15"/>
                <w:szCs w:val="15"/>
              </w:rPr>
            </w:pPr>
          </w:p>
        </w:tc>
        <w:tc>
          <w:tcPr>
            <w:tcW w:w="155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AE880AE">
            <w:pPr>
              <w:widowControl/>
              <w:spacing w:before="100" w:beforeAutospacing="1" w:after="100" w:afterAutospacing="1"/>
              <w:jc w:val="center"/>
              <w:rPr>
                <w:rFonts w:ascii="等线" w:hAnsi="等线" w:eastAsia="等线" w:cs="宋体"/>
                <w:kern w:val="0"/>
                <w:sz w:val="15"/>
                <w:szCs w:val="15"/>
              </w:rPr>
            </w:pPr>
            <w:r>
              <w:rPr>
                <w:rFonts w:hint="eastAsia" w:ascii="等线" w:hAnsi="等线" w:eastAsia="等线" w:cs="宋体"/>
                <w:kern w:val="0"/>
                <w:sz w:val="15"/>
                <w:szCs w:val="15"/>
              </w:rPr>
              <w:t>校内单一来源</w:t>
            </w:r>
          </w:p>
        </w:tc>
        <w:tc>
          <w:tcPr>
            <w:tcW w:w="99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549D6555">
            <w:pPr>
              <w:widowControl/>
              <w:spacing w:before="100" w:beforeAutospacing="1" w:after="100" w:afterAutospacing="1"/>
              <w:jc w:val="left"/>
              <w:rPr>
                <w:rFonts w:ascii="等线" w:hAnsi="等线" w:eastAsia="等线" w:cs="宋体"/>
                <w:kern w:val="0"/>
                <w:sz w:val="15"/>
                <w:szCs w:val="15"/>
              </w:rPr>
            </w:pPr>
            <w:r>
              <w:rPr>
                <w:rFonts w:hint="eastAsia" w:ascii="等线" w:hAnsi="等线" w:eastAsia="等线" w:cs="宋体"/>
                <w:kern w:val="0"/>
                <w:sz w:val="15"/>
                <w:szCs w:val="15"/>
              </w:rPr>
              <w:t>须</w:t>
            </w:r>
            <w:r>
              <w:rPr>
                <w:rFonts w:ascii="等线" w:hAnsi="等线" w:eastAsia="等线" w:cs="宋体"/>
                <w:kern w:val="0"/>
                <w:sz w:val="15"/>
                <w:szCs w:val="15"/>
              </w:rPr>
              <w:t>理由充分</w:t>
            </w:r>
          </w:p>
        </w:tc>
        <w:tc>
          <w:tcPr>
            <w:tcW w:w="709" w:type="dxa"/>
            <w:vMerge w:val="continue"/>
            <w:tcBorders>
              <w:top w:val="single" w:color="080000" w:sz="6" w:space="0"/>
              <w:left w:val="single" w:color="080000" w:sz="6" w:space="0"/>
              <w:bottom w:val="single" w:color="080000" w:sz="6" w:space="0"/>
              <w:right w:val="single" w:color="080000" w:sz="6" w:space="0"/>
            </w:tcBorders>
            <w:vAlign w:val="center"/>
          </w:tcPr>
          <w:p w14:paraId="35454AB7">
            <w:pPr>
              <w:widowControl/>
              <w:jc w:val="left"/>
              <w:rPr>
                <w:rFonts w:ascii="宋体" w:hAnsi="宋体" w:eastAsia="宋体" w:cs="宋体"/>
                <w:kern w:val="0"/>
                <w:sz w:val="15"/>
                <w:szCs w:val="15"/>
              </w:rPr>
            </w:pPr>
          </w:p>
        </w:tc>
        <w:tc>
          <w:tcPr>
            <w:tcW w:w="709" w:type="dxa"/>
            <w:vMerge w:val="continue"/>
            <w:tcBorders>
              <w:top w:val="single" w:color="080000" w:sz="6" w:space="0"/>
              <w:left w:val="single" w:color="080000" w:sz="6" w:space="0"/>
              <w:bottom w:val="single" w:color="080000" w:sz="6" w:space="0"/>
              <w:right w:val="single" w:color="080000" w:sz="6" w:space="0"/>
            </w:tcBorders>
            <w:vAlign w:val="center"/>
          </w:tcPr>
          <w:p w14:paraId="3E502A58">
            <w:pPr>
              <w:widowControl/>
              <w:jc w:val="left"/>
              <w:rPr>
                <w:rFonts w:ascii="宋体" w:hAnsi="宋体" w:eastAsia="宋体" w:cs="宋体"/>
                <w:kern w:val="0"/>
                <w:sz w:val="15"/>
                <w:szCs w:val="15"/>
              </w:rPr>
            </w:pPr>
          </w:p>
        </w:tc>
        <w:tc>
          <w:tcPr>
            <w:tcW w:w="708" w:type="dxa"/>
            <w:vMerge w:val="continue"/>
            <w:tcBorders>
              <w:top w:val="single" w:color="080000" w:sz="6" w:space="0"/>
              <w:left w:val="single" w:color="080000" w:sz="6" w:space="0"/>
              <w:bottom w:val="single" w:color="080000" w:sz="6" w:space="0"/>
              <w:right w:val="single" w:color="080000" w:sz="6" w:space="0"/>
            </w:tcBorders>
            <w:vAlign w:val="center"/>
          </w:tcPr>
          <w:p w14:paraId="24753FF9">
            <w:pPr>
              <w:widowControl/>
              <w:jc w:val="left"/>
              <w:rPr>
                <w:rFonts w:ascii="宋体" w:hAnsi="宋体" w:eastAsia="宋体" w:cs="宋体"/>
                <w:kern w:val="0"/>
                <w:sz w:val="15"/>
                <w:szCs w:val="15"/>
              </w:rPr>
            </w:pPr>
          </w:p>
        </w:tc>
        <w:tc>
          <w:tcPr>
            <w:tcW w:w="709" w:type="dxa"/>
            <w:vMerge w:val="continue"/>
            <w:tcBorders>
              <w:top w:val="single" w:color="080000" w:sz="6" w:space="0"/>
              <w:left w:val="single" w:color="080000" w:sz="6" w:space="0"/>
              <w:bottom w:val="single" w:color="080000" w:sz="6" w:space="0"/>
              <w:right w:val="single" w:color="080000" w:sz="6" w:space="0"/>
            </w:tcBorders>
            <w:vAlign w:val="center"/>
          </w:tcPr>
          <w:p w14:paraId="4123EA4E">
            <w:pPr>
              <w:widowControl/>
              <w:jc w:val="left"/>
              <w:rPr>
                <w:rFonts w:ascii="宋体" w:hAnsi="宋体" w:eastAsia="宋体" w:cs="宋体"/>
                <w:kern w:val="0"/>
                <w:sz w:val="15"/>
                <w:szCs w:val="15"/>
              </w:rPr>
            </w:pPr>
          </w:p>
        </w:tc>
        <w:tc>
          <w:tcPr>
            <w:tcW w:w="851" w:type="dxa"/>
            <w:vMerge w:val="continue"/>
            <w:tcBorders>
              <w:top w:val="single" w:color="080000" w:sz="6" w:space="0"/>
              <w:left w:val="single" w:color="080000" w:sz="6" w:space="0"/>
              <w:bottom w:val="single" w:color="080000" w:sz="6" w:space="0"/>
              <w:right w:val="single" w:color="080000" w:sz="6" w:space="0"/>
            </w:tcBorders>
            <w:vAlign w:val="center"/>
          </w:tcPr>
          <w:p w14:paraId="19E08AAE">
            <w:pPr>
              <w:widowControl/>
              <w:jc w:val="left"/>
              <w:rPr>
                <w:rFonts w:ascii="宋体" w:hAnsi="宋体" w:eastAsia="宋体" w:cs="宋体"/>
                <w:kern w:val="0"/>
                <w:sz w:val="15"/>
                <w:szCs w:val="15"/>
              </w:rPr>
            </w:pPr>
          </w:p>
        </w:tc>
        <w:tc>
          <w:tcPr>
            <w:tcW w:w="1275" w:type="dxa"/>
            <w:vMerge w:val="continue"/>
            <w:tcBorders>
              <w:top w:val="single" w:color="080000" w:sz="6" w:space="0"/>
              <w:left w:val="single" w:color="080000" w:sz="6" w:space="0"/>
              <w:bottom w:val="single" w:color="080000" w:sz="6" w:space="0"/>
              <w:right w:val="single" w:color="080000" w:sz="6" w:space="0"/>
            </w:tcBorders>
            <w:vAlign w:val="center"/>
          </w:tcPr>
          <w:p w14:paraId="5634EE9B">
            <w:pPr>
              <w:widowControl/>
              <w:jc w:val="left"/>
              <w:rPr>
                <w:rFonts w:ascii="宋体" w:hAnsi="宋体" w:eastAsia="宋体" w:cs="宋体"/>
                <w:kern w:val="0"/>
                <w:sz w:val="15"/>
                <w:szCs w:val="15"/>
              </w:rPr>
            </w:pPr>
          </w:p>
        </w:tc>
        <w:tc>
          <w:tcPr>
            <w:tcW w:w="567" w:type="dxa"/>
            <w:vMerge w:val="continue"/>
            <w:tcBorders>
              <w:top w:val="single" w:color="080000" w:sz="6" w:space="0"/>
              <w:left w:val="single" w:color="080000" w:sz="6" w:space="0"/>
              <w:bottom w:val="single" w:color="080000" w:sz="6" w:space="0"/>
              <w:right w:val="single" w:color="080000" w:sz="6" w:space="0"/>
            </w:tcBorders>
            <w:vAlign w:val="center"/>
          </w:tcPr>
          <w:p w14:paraId="47B28F64">
            <w:pPr>
              <w:widowControl/>
              <w:jc w:val="left"/>
              <w:rPr>
                <w:rFonts w:ascii="宋体" w:hAnsi="宋体" w:eastAsia="宋体" w:cs="宋体"/>
                <w:kern w:val="0"/>
                <w:sz w:val="15"/>
                <w:szCs w:val="15"/>
              </w:rPr>
            </w:pPr>
          </w:p>
        </w:tc>
        <w:tc>
          <w:tcPr>
            <w:tcW w:w="284" w:type="dxa"/>
            <w:vMerge w:val="continue"/>
            <w:tcBorders>
              <w:top w:val="single" w:color="080000" w:sz="6" w:space="0"/>
              <w:left w:val="single" w:color="080000" w:sz="6" w:space="0"/>
              <w:bottom w:val="single" w:color="080000" w:sz="6" w:space="0"/>
              <w:right w:val="single" w:color="080000" w:sz="6" w:space="0"/>
            </w:tcBorders>
            <w:vAlign w:val="center"/>
          </w:tcPr>
          <w:p w14:paraId="2833DC6D">
            <w:pPr>
              <w:widowControl/>
              <w:jc w:val="left"/>
              <w:rPr>
                <w:rFonts w:ascii="宋体" w:hAnsi="宋体" w:eastAsia="宋体" w:cs="宋体"/>
                <w:kern w:val="0"/>
                <w:sz w:val="15"/>
                <w:szCs w:val="15"/>
              </w:rPr>
            </w:pPr>
          </w:p>
        </w:tc>
      </w:tr>
      <w:tr w14:paraId="3B517154">
        <w:tblPrEx>
          <w:tblCellMar>
            <w:top w:w="0" w:type="dxa"/>
            <w:left w:w="0" w:type="dxa"/>
            <w:bottom w:w="0" w:type="dxa"/>
            <w:right w:w="0" w:type="dxa"/>
          </w:tblCellMar>
        </w:tblPrEx>
        <w:trPr>
          <w:trHeight w:val="556" w:hRule="atLeast"/>
          <w:jc w:val="center"/>
        </w:trPr>
        <w:tc>
          <w:tcPr>
            <w:tcW w:w="155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44C78C89">
            <w:pPr>
              <w:widowControl/>
              <w:spacing w:before="100" w:beforeAutospacing="1" w:after="100" w:afterAutospacing="1"/>
              <w:jc w:val="left"/>
              <w:rPr>
                <w:rFonts w:ascii="宋体" w:hAnsi="宋体" w:eastAsia="宋体" w:cs="宋体"/>
                <w:kern w:val="0"/>
                <w:sz w:val="15"/>
                <w:szCs w:val="15"/>
              </w:rPr>
            </w:pPr>
            <w:r>
              <w:rPr>
                <w:rFonts w:hint="eastAsia" w:ascii="宋体" w:hAnsi="宋体" w:eastAsia="宋体" w:cs="宋体"/>
                <w:kern w:val="0"/>
                <w:sz w:val="15"/>
                <w:szCs w:val="15"/>
              </w:rPr>
              <w:t>项目预算≥</w:t>
            </w:r>
            <w:r>
              <w:rPr>
                <w:rFonts w:hint="eastAsia" w:ascii="等线" w:hAnsi="等线" w:eastAsia="等线" w:cs="宋体"/>
                <w:kern w:val="0"/>
                <w:sz w:val="15"/>
                <w:szCs w:val="15"/>
              </w:rPr>
              <w:t>10万元学校集中采购项目</w:t>
            </w:r>
          </w:p>
        </w:tc>
        <w:tc>
          <w:tcPr>
            <w:tcW w:w="155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667458D">
            <w:pPr>
              <w:widowControl/>
              <w:spacing w:before="100" w:beforeAutospacing="1" w:after="100" w:afterAutospacing="1"/>
              <w:jc w:val="left"/>
              <w:rPr>
                <w:rFonts w:ascii="等线" w:hAnsi="等线" w:eastAsia="等线" w:cs="宋体"/>
                <w:kern w:val="0"/>
                <w:sz w:val="15"/>
                <w:szCs w:val="15"/>
              </w:rPr>
            </w:pPr>
            <w:r>
              <w:rPr>
                <w:rFonts w:hint="eastAsia" w:ascii="等线" w:hAnsi="等线" w:eastAsia="等线" w:cs="宋体"/>
                <w:kern w:val="0"/>
                <w:sz w:val="15"/>
                <w:szCs w:val="15"/>
              </w:rPr>
              <w:t>公开招标等法定采购方式或校内公开招标等采购方式</w:t>
            </w:r>
          </w:p>
        </w:tc>
        <w:tc>
          <w:tcPr>
            <w:tcW w:w="99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2E40DA3">
            <w:pPr>
              <w:widowControl/>
              <w:spacing w:before="100" w:beforeAutospacing="1" w:after="100" w:afterAutospacing="1"/>
              <w:jc w:val="center"/>
              <w:rPr>
                <w:rFonts w:ascii="宋体" w:hAnsi="宋体" w:eastAsia="宋体" w:cs="宋体"/>
                <w:b/>
                <w:bCs/>
                <w:kern w:val="0"/>
                <w:sz w:val="15"/>
                <w:szCs w:val="15"/>
              </w:rPr>
            </w:pPr>
            <w:r>
              <w:rPr>
                <w:rFonts w:hint="eastAsia" w:ascii="宋体" w:hAnsi="宋体" w:eastAsia="宋体" w:cs="Arial"/>
                <w:b/>
                <w:bCs/>
                <w:kern w:val="0"/>
                <w:sz w:val="15"/>
                <w:szCs w:val="15"/>
              </w:rPr>
              <w:t>×</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1EBF0C4">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03808525">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8"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74808C51">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02940241">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851" w:type="dxa"/>
            <w:vMerge w:val="continue"/>
            <w:tcBorders>
              <w:top w:val="single" w:color="080000" w:sz="6" w:space="0"/>
              <w:left w:val="single" w:color="080000" w:sz="6" w:space="0"/>
              <w:bottom w:val="single" w:color="080000" w:sz="6" w:space="0"/>
              <w:right w:val="single" w:color="080000" w:sz="6" w:space="0"/>
            </w:tcBorders>
            <w:vAlign w:val="center"/>
          </w:tcPr>
          <w:p w14:paraId="032730CA">
            <w:pPr>
              <w:widowControl/>
              <w:jc w:val="left"/>
              <w:rPr>
                <w:rFonts w:ascii="宋体" w:hAnsi="宋体" w:eastAsia="宋体" w:cs="宋体"/>
                <w:kern w:val="0"/>
                <w:sz w:val="15"/>
                <w:szCs w:val="15"/>
              </w:rPr>
            </w:pPr>
          </w:p>
        </w:tc>
        <w:tc>
          <w:tcPr>
            <w:tcW w:w="1275" w:type="dxa"/>
            <w:vMerge w:val="continue"/>
            <w:tcBorders>
              <w:top w:val="single" w:color="080000" w:sz="6" w:space="0"/>
              <w:left w:val="single" w:color="080000" w:sz="6" w:space="0"/>
              <w:bottom w:val="single" w:color="080000" w:sz="6" w:space="0"/>
              <w:right w:val="single" w:color="080000" w:sz="6" w:space="0"/>
            </w:tcBorders>
            <w:vAlign w:val="center"/>
          </w:tcPr>
          <w:p w14:paraId="11875934">
            <w:pPr>
              <w:widowControl/>
              <w:jc w:val="left"/>
              <w:rPr>
                <w:rFonts w:ascii="宋体" w:hAnsi="宋体" w:eastAsia="宋体" w:cs="宋体"/>
                <w:kern w:val="0"/>
                <w:sz w:val="15"/>
                <w:szCs w:val="15"/>
              </w:rPr>
            </w:pPr>
          </w:p>
        </w:tc>
        <w:tc>
          <w:tcPr>
            <w:tcW w:w="567" w:type="dxa"/>
            <w:vMerge w:val="continue"/>
            <w:tcBorders>
              <w:top w:val="single" w:color="080000" w:sz="6" w:space="0"/>
              <w:left w:val="single" w:color="080000" w:sz="6" w:space="0"/>
              <w:bottom w:val="single" w:color="080000" w:sz="6" w:space="0"/>
              <w:right w:val="single" w:color="080000" w:sz="6" w:space="0"/>
            </w:tcBorders>
            <w:vAlign w:val="center"/>
          </w:tcPr>
          <w:p w14:paraId="1075E3A0">
            <w:pPr>
              <w:widowControl/>
              <w:jc w:val="left"/>
              <w:rPr>
                <w:rFonts w:ascii="宋体" w:hAnsi="宋体" w:eastAsia="宋体" w:cs="宋体"/>
                <w:kern w:val="0"/>
                <w:sz w:val="15"/>
                <w:szCs w:val="15"/>
              </w:rPr>
            </w:pPr>
          </w:p>
        </w:tc>
        <w:tc>
          <w:tcPr>
            <w:tcW w:w="284" w:type="dxa"/>
            <w:vMerge w:val="continue"/>
            <w:tcBorders>
              <w:top w:val="single" w:color="080000" w:sz="6" w:space="0"/>
              <w:left w:val="single" w:color="080000" w:sz="6" w:space="0"/>
              <w:bottom w:val="single" w:color="080000" w:sz="6" w:space="0"/>
              <w:right w:val="single" w:color="080000" w:sz="6" w:space="0"/>
            </w:tcBorders>
            <w:vAlign w:val="center"/>
          </w:tcPr>
          <w:p w14:paraId="15AA24C6">
            <w:pPr>
              <w:widowControl/>
              <w:jc w:val="left"/>
              <w:rPr>
                <w:rFonts w:ascii="宋体" w:hAnsi="宋体" w:eastAsia="宋体" w:cs="宋体"/>
                <w:kern w:val="0"/>
                <w:sz w:val="15"/>
                <w:szCs w:val="15"/>
              </w:rPr>
            </w:pPr>
          </w:p>
        </w:tc>
      </w:tr>
      <w:tr w14:paraId="28521CBA">
        <w:tblPrEx>
          <w:tblCellMar>
            <w:top w:w="0" w:type="dxa"/>
            <w:left w:w="0" w:type="dxa"/>
            <w:bottom w:w="0" w:type="dxa"/>
            <w:right w:w="0" w:type="dxa"/>
          </w:tblCellMar>
        </w:tblPrEx>
        <w:trPr>
          <w:trHeight w:val="763" w:hRule="atLeast"/>
          <w:jc w:val="center"/>
        </w:trPr>
        <w:tc>
          <w:tcPr>
            <w:tcW w:w="155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E756A0B">
            <w:pPr>
              <w:widowControl/>
              <w:spacing w:before="100" w:beforeAutospacing="1" w:after="100" w:afterAutospacing="1"/>
              <w:jc w:val="left"/>
              <w:rPr>
                <w:rFonts w:ascii="宋体" w:hAnsi="宋体" w:eastAsia="宋体" w:cs="宋体"/>
                <w:kern w:val="0"/>
                <w:sz w:val="15"/>
                <w:szCs w:val="15"/>
              </w:rPr>
            </w:pPr>
            <w:r>
              <w:rPr>
                <w:rFonts w:hint="eastAsia" w:ascii="等线" w:hAnsi="等线" w:eastAsia="等线" w:cs="宋体"/>
                <w:kern w:val="0"/>
                <w:sz w:val="15"/>
                <w:szCs w:val="15"/>
              </w:rPr>
              <w:t>福建省平台框架/网超采购项目</w:t>
            </w:r>
          </w:p>
        </w:tc>
        <w:tc>
          <w:tcPr>
            <w:tcW w:w="155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971F70C">
            <w:pPr>
              <w:widowControl/>
              <w:spacing w:before="100" w:beforeAutospacing="1" w:after="100" w:afterAutospacing="1"/>
              <w:jc w:val="left"/>
              <w:rPr>
                <w:rFonts w:ascii="等线" w:hAnsi="等线" w:eastAsia="等线" w:cs="宋体"/>
                <w:kern w:val="0"/>
                <w:sz w:val="15"/>
                <w:szCs w:val="15"/>
              </w:rPr>
            </w:pPr>
            <w:r>
              <w:rPr>
                <w:rFonts w:hint="eastAsia" w:ascii="等线" w:hAnsi="等线" w:eastAsia="等线" w:cs="宋体"/>
                <w:kern w:val="0"/>
                <w:sz w:val="15"/>
                <w:szCs w:val="15"/>
              </w:rPr>
              <w:t>框架协议或网上超市直接采购等</w:t>
            </w:r>
          </w:p>
        </w:tc>
        <w:tc>
          <w:tcPr>
            <w:tcW w:w="992"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641F5309">
            <w:pPr>
              <w:widowControl/>
              <w:spacing w:before="100" w:beforeAutospacing="1" w:after="100" w:afterAutospacing="1"/>
              <w:jc w:val="left"/>
              <w:rPr>
                <w:rFonts w:ascii="等线" w:hAnsi="等线" w:eastAsia="等线" w:cs="宋体"/>
                <w:kern w:val="0"/>
                <w:sz w:val="15"/>
                <w:szCs w:val="15"/>
              </w:rPr>
            </w:pPr>
            <w:r>
              <w:rPr>
                <w:rFonts w:ascii="等线" w:hAnsi="等线" w:eastAsia="等线" w:cs="宋体"/>
                <w:kern w:val="0"/>
                <w:sz w:val="15"/>
                <w:szCs w:val="15"/>
              </w:rPr>
              <w:t>可以按参考选型下单</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20C16BA5">
            <w:pPr>
              <w:widowControl/>
              <w:spacing w:before="100" w:beforeAutospacing="1" w:after="100" w:afterAutospacing="1"/>
              <w:jc w:val="center"/>
              <w:rPr>
                <w:rFonts w:ascii="宋体" w:hAnsi="宋体" w:eastAsia="宋体" w:cs="宋体"/>
                <w:kern w:val="0"/>
                <w:sz w:val="15"/>
                <w:szCs w:val="15"/>
              </w:rPr>
            </w:pPr>
            <w:r>
              <w:rPr>
                <w:rFonts w:ascii="Arial" w:hAnsi="Arial" w:eastAsia="宋体" w:cs="Arial"/>
                <w:kern w:val="0"/>
                <w:sz w:val="15"/>
                <w:szCs w:val="15"/>
              </w:rPr>
              <w:t>10w↑</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74B5795">
            <w:pPr>
              <w:widowControl/>
              <w:spacing w:before="100" w:beforeAutospacing="1" w:after="100" w:afterAutospacing="1"/>
              <w:jc w:val="center"/>
              <w:rPr>
                <w:rFonts w:ascii="宋体" w:hAnsi="宋体" w:eastAsia="宋体" w:cs="宋体"/>
                <w:kern w:val="0"/>
                <w:sz w:val="15"/>
                <w:szCs w:val="15"/>
              </w:rPr>
            </w:pPr>
            <w:r>
              <w:rPr>
                <w:rFonts w:ascii="Arial" w:hAnsi="Arial" w:eastAsia="宋体" w:cs="Arial"/>
                <w:kern w:val="0"/>
                <w:sz w:val="15"/>
                <w:szCs w:val="15"/>
              </w:rPr>
              <w:t>10w↑</w:t>
            </w:r>
          </w:p>
        </w:tc>
        <w:tc>
          <w:tcPr>
            <w:tcW w:w="708"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606BC346">
            <w:pPr>
              <w:widowControl/>
              <w:spacing w:before="100" w:beforeAutospacing="1" w:after="100" w:afterAutospacing="1"/>
              <w:jc w:val="center"/>
              <w:rPr>
                <w:rFonts w:ascii="宋体" w:hAnsi="宋体" w:eastAsia="宋体" w:cs="宋体"/>
                <w:b/>
                <w:bCs/>
                <w:kern w:val="0"/>
                <w:sz w:val="15"/>
                <w:szCs w:val="15"/>
              </w:rPr>
            </w:pPr>
            <w:r>
              <w:rPr>
                <w:rFonts w:hint="eastAsia" w:ascii="宋体" w:hAnsi="宋体" w:eastAsia="宋体" w:cs="Arial"/>
                <w:b/>
                <w:bCs/>
                <w:kern w:val="0"/>
                <w:sz w:val="15"/>
                <w:szCs w:val="15"/>
              </w:rPr>
              <w:t>×</w:t>
            </w:r>
          </w:p>
        </w:tc>
        <w:tc>
          <w:tcPr>
            <w:tcW w:w="709"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212F2D99">
            <w:pPr>
              <w:widowControl/>
              <w:spacing w:before="100" w:beforeAutospacing="1" w:after="100" w:afterAutospacing="1"/>
              <w:jc w:val="center"/>
              <w:rPr>
                <w:rFonts w:ascii="宋体" w:hAnsi="宋体" w:eastAsia="宋体" w:cs="宋体"/>
                <w:kern w:val="0"/>
                <w:sz w:val="15"/>
                <w:szCs w:val="15"/>
              </w:rPr>
            </w:pPr>
            <w:r>
              <w:rPr>
                <w:rFonts w:hint="eastAsia" w:ascii="等线" w:hAnsi="等线" w:eastAsia="等线" w:cs="宋体"/>
                <w:kern w:val="0"/>
                <w:sz w:val="15"/>
                <w:szCs w:val="15"/>
              </w:rPr>
              <w:t>√</w:t>
            </w:r>
          </w:p>
        </w:tc>
        <w:tc>
          <w:tcPr>
            <w:tcW w:w="851" w:type="dxa"/>
            <w:vMerge w:val="continue"/>
            <w:tcBorders>
              <w:top w:val="single" w:color="080000" w:sz="6" w:space="0"/>
              <w:left w:val="single" w:color="080000" w:sz="6" w:space="0"/>
              <w:bottom w:val="single" w:color="080000" w:sz="6" w:space="0"/>
              <w:right w:val="single" w:color="080000" w:sz="6" w:space="0"/>
            </w:tcBorders>
            <w:vAlign w:val="center"/>
          </w:tcPr>
          <w:p w14:paraId="29F4FFE7">
            <w:pPr>
              <w:widowControl/>
              <w:jc w:val="left"/>
              <w:rPr>
                <w:rFonts w:ascii="宋体" w:hAnsi="宋体" w:eastAsia="宋体" w:cs="宋体"/>
                <w:kern w:val="0"/>
                <w:sz w:val="15"/>
                <w:szCs w:val="15"/>
              </w:rPr>
            </w:pPr>
          </w:p>
        </w:tc>
        <w:tc>
          <w:tcPr>
            <w:tcW w:w="1275" w:type="dxa"/>
            <w:tcBorders>
              <w:top w:val="single" w:color="080000" w:sz="6" w:space="0"/>
              <w:left w:val="single" w:color="080000" w:sz="6" w:space="0"/>
              <w:bottom w:val="single" w:color="080000" w:sz="6" w:space="0"/>
              <w:right w:val="single" w:color="080000" w:sz="6" w:space="0"/>
            </w:tcBorders>
            <w:tcMar>
              <w:top w:w="0" w:type="dxa"/>
              <w:left w:w="108" w:type="dxa"/>
              <w:bottom w:w="0" w:type="dxa"/>
              <w:right w:w="108" w:type="dxa"/>
            </w:tcMar>
            <w:vAlign w:val="center"/>
          </w:tcPr>
          <w:p w14:paraId="370A1909">
            <w:pPr>
              <w:widowControl/>
              <w:spacing w:before="100" w:beforeAutospacing="1" w:after="100" w:afterAutospacing="1"/>
              <w:jc w:val="center"/>
              <w:rPr>
                <w:rFonts w:ascii="宋体" w:hAnsi="宋体" w:eastAsia="宋体" w:cs="宋体"/>
                <w:kern w:val="0"/>
                <w:sz w:val="15"/>
                <w:szCs w:val="15"/>
              </w:rPr>
            </w:pPr>
            <w:r>
              <w:rPr>
                <w:rFonts w:hint="eastAsia" w:ascii="宋体" w:hAnsi="宋体" w:eastAsia="宋体" w:cs="Arial"/>
                <w:kern w:val="0"/>
                <w:sz w:val="15"/>
                <w:szCs w:val="15"/>
              </w:rPr>
              <w:t>×</w:t>
            </w:r>
          </w:p>
        </w:tc>
        <w:tc>
          <w:tcPr>
            <w:tcW w:w="567" w:type="dxa"/>
            <w:vMerge w:val="continue"/>
            <w:tcBorders>
              <w:top w:val="single" w:color="080000" w:sz="6" w:space="0"/>
              <w:left w:val="single" w:color="080000" w:sz="6" w:space="0"/>
              <w:bottom w:val="single" w:color="080000" w:sz="6" w:space="0"/>
              <w:right w:val="single" w:color="080000" w:sz="6" w:space="0"/>
            </w:tcBorders>
            <w:vAlign w:val="center"/>
          </w:tcPr>
          <w:p w14:paraId="196F3920">
            <w:pPr>
              <w:widowControl/>
              <w:jc w:val="left"/>
              <w:rPr>
                <w:rFonts w:ascii="宋体" w:hAnsi="宋体" w:eastAsia="宋体" w:cs="宋体"/>
                <w:kern w:val="0"/>
                <w:sz w:val="15"/>
                <w:szCs w:val="15"/>
              </w:rPr>
            </w:pPr>
          </w:p>
        </w:tc>
        <w:tc>
          <w:tcPr>
            <w:tcW w:w="284" w:type="dxa"/>
            <w:vMerge w:val="continue"/>
            <w:tcBorders>
              <w:top w:val="single" w:color="080000" w:sz="6" w:space="0"/>
              <w:left w:val="single" w:color="080000" w:sz="6" w:space="0"/>
              <w:bottom w:val="single" w:color="080000" w:sz="6" w:space="0"/>
              <w:right w:val="single" w:color="080000" w:sz="6" w:space="0"/>
            </w:tcBorders>
            <w:vAlign w:val="center"/>
          </w:tcPr>
          <w:p w14:paraId="5AEF45B5">
            <w:pPr>
              <w:widowControl/>
              <w:jc w:val="left"/>
              <w:rPr>
                <w:rFonts w:ascii="宋体" w:hAnsi="宋体" w:eastAsia="宋体" w:cs="宋体"/>
                <w:kern w:val="0"/>
                <w:sz w:val="15"/>
                <w:szCs w:val="15"/>
              </w:rPr>
            </w:pPr>
          </w:p>
        </w:tc>
      </w:tr>
    </w:tbl>
    <w:p w14:paraId="2E092FC2">
      <w:pPr>
        <w:pStyle w:val="3"/>
        <w:bidi w:val="0"/>
        <w:rPr>
          <w:rFonts w:hint="eastAsia"/>
          <w:b/>
        </w:rPr>
      </w:pPr>
      <w:bookmarkStart w:id="6" w:name="_Toc26991"/>
      <w:r>
        <w:rPr>
          <w:rFonts w:hint="eastAsia"/>
          <w:b/>
        </w:rPr>
        <w:t>问题6：货物标、工程标、服务标有什么区别？</w:t>
      </w:r>
      <w:bookmarkEnd w:id="6"/>
    </w:p>
    <w:p w14:paraId="59B0637E">
      <w:pPr>
        <w:bidi w:val="0"/>
        <w:rPr>
          <w:rFonts w:hint="eastAsia"/>
        </w:rPr>
      </w:pPr>
      <w:r>
        <w:rPr>
          <w:rFonts w:hint="eastAsia"/>
          <w:b/>
          <w:bCs/>
        </w:rPr>
        <w:t>答复</w:t>
      </w:r>
      <w:r>
        <w:rPr>
          <w:rFonts w:hint="eastAsia"/>
        </w:rPr>
        <w:t>：</w:t>
      </w:r>
    </w:p>
    <w:p w14:paraId="317A01B7">
      <w:pPr>
        <w:bidi w:val="0"/>
      </w:pPr>
      <w:r>
        <w:rPr>
          <w:rFonts w:hint="eastAsia"/>
          <w:b/>
          <w:bCs/>
        </w:rPr>
        <w:t>1.货物标</w:t>
      </w:r>
      <w:r>
        <w:rPr>
          <w:rFonts w:hint="eastAsia"/>
        </w:rPr>
        <w:t>：采购有形实物商品或行业应用软件等，核心是供货（例：办公设备、仪器、建材、器械、耗材），重点为其规格、参数、货源、质保、交货时间等；</w:t>
      </w:r>
    </w:p>
    <w:p w14:paraId="56505DFD">
      <w:pPr>
        <w:bidi w:val="0"/>
      </w:pPr>
      <w:r>
        <w:rPr>
          <w:rFonts w:hint="eastAsia"/>
          <w:b/>
          <w:bCs/>
        </w:rPr>
        <w:t>2.工程标</w:t>
      </w:r>
      <w:r>
        <w:rPr>
          <w:rFonts w:hint="eastAsia"/>
        </w:rPr>
        <w:t>：包含建筑、安装改造类施工建设（例：楼房修建、道路施工、室内装修、管线安装），重点为施工资质、施工方案、工期、施工</w:t>
      </w:r>
      <w:r>
        <w:rPr>
          <w:rFonts w:hint="eastAsia"/>
          <w:lang w:val="en-US" w:eastAsia="zh-CN"/>
        </w:rPr>
        <w:t>保障</w:t>
      </w:r>
      <w:r>
        <w:rPr>
          <w:rFonts w:hint="eastAsia"/>
        </w:rPr>
        <w:t>、竣工维保等；政府采购工程，指工程招标限额标准以上，与建筑物和构筑物的新建、改建、扩建项目无关的单独的装修、拆除、修缮项目，以及政府采购工程限额标准以上、工程招标限额标准以下的政府采购工程项目。</w:t>
      </w:r>
    </w:p>
    <w:p w14:paraId="1B590CFA">
      <w:pPr>
        <w:bidi w:val="0"/>
      </w:pPr>
      <w:r>
        <w:rPr>
          <w:rFonts w:hint="eastAsia"/>
          <w:b/>
          <w:bCs/>
        </w:rPr>
        <w:t>3.服务标</w:t>
      </w:r>
      <w:r>
        <w:rPr>
          <w:rFonts w:hint="eastAsia"/>
        </w:rPr>
        <w:t>：采购劳务、技术类无形服务，无实物、不施工（例：物业保洁、审计、设备运维、咨询、检测、培训），重点为服务人员、服务流程、响应时效、服务方案等。</w:t>
      </w:r>
    </w:p>
    <w:p w14:paraId="67E6F9E1">
      <w:pPr>
        <w:bidi w:val="0"/>
        <w:rPr>
          <w:b/>
          <w:bCs/>
        </w:rPr>
      </w:pPr>
      <w:r>
        <w:rPr>
          <w:rFonts w:hint="eastAsia"/>
          <w:b/>
          <w:bCs/>
        </w:rPr>
        <w:t>即</w:t>
      </w:r>
      <w:r>
        <w:rPr>
          <w:rFonts w:hint="eastAsia"/>
        </w:rPr>
        <w:t>：</w:t>
      </w:r>
      <w:r>
        <w:rPr>
          <w:rFonts w:hint="eastAsia"/>
          <w:b/>
          <w:bCs/>
        </w:rPr>
        <w:t xml:space="preserve">买实物=货物标 </w:t>
      </w:r>
      <w:r>
        <w:rPr>
          <w:b/>
          <w:bCs/>
        </w:rPr>
        <w:t xml:space="preserve">  </w:t>
      </w:r>
      <w:r>
        <w:rPr>
          <w:rFonts w:hint="eastAsia"/>
          <w:b/>
          <w:bCs/>
        </w:rPr>
        <w:t xml:space="preserve">做施工=工程标 </w:t>
      </w:r>
      <w:r>
        <w:rPr>
          <w:b/>
          <w:bCs/>
        </w:rPr>
        <w:t xml:space="preserve"> </w:t>
      </w:r>
      <w:r>
        <w:rPr>
          <w:rFonts w:hint="eastAsia"/>
          <w:b/>
          <w:bCs/>
        </w:rPr>
        <w:t>买服务=服务标</w:t>
      </w:r>
    </w:p>
    <w:p w14:paraId="196242A3">
      <w:pPr>
        <w:bidi w:val="0"/>
      </w:pPr>
      <w:r>
        <w:rPr>
          <w:rFonts w:hint="eastAsia"/>
          <w:b/>
          <w:bCs/>
        </w:rPr>
        <w:t>注</w:t>
      </w:r>
      <w:r>
        <w:rPr>
          <w:rFonts w:hint="eastAsia"/>
        </w:rPr>
        <w:t>：按照《政府采购品目分类目录》无法确定货物标、工程标、服务标，按照有利于采购项目实施的原则确定。主要是三个原则：①根据采购项目内容及需求特点分析，更有利于项目的顺利实施来确定；②综合考量资金占比权重以及技术构成权重来确定。③考虑采购人实施采购项目期望达到的目标来确定。</w:t>
      </w:r>
    </w:p>
    <w:p w14:paraId="18F667E6">
      <w:pPr>
        <w:pStyle w:val="3"/>
        <w:bidi w:val="0"/>
        <w:rPr>
          <w:rFonts w:hint="eastAsia"/>
          <w:b/>
        </w:rPr>
      </w:pPr>
      <w:bookmarkStart w:id="7" w:name="_Toc20982"/>
      <w:r>
        <w:rPr>
          <w:rFonts w:hint="eastAsia"/>
          <w:b/>
        </w:rPr>
        <w:t>问题7：一个政府采购项目，项目内既有集中目录内的货物（占比30%），又有分散类的货物（占比70%），是否可以委托给分散代理机构？还是只能统一委托给集中采购代理机构？或者是否有其他类似项目的解决办法？</w:t>
      </w:r>
      <w:bookmarkEnd w:id="7"/>
    </w:p>
    <w:p w14:paraId="3FFCA671">
      <w:pPr>
        <w:bidi w:val="0"/>
      </w:pPr>
      <w:r>
        <w:rPr>
          <w:rFonts w:hint="eastAsia"/>
          <w:b/>
          <w:bCs/>
        </w:rPr>
        <w:t>答复</w:t>
      </w:r>
      <w:r>
        <w:rPr>
          <w:rFonts w:hint="eastAsia"/>
        </w:rPr>
        <w:t>：根据《中华人民共和国政府采购法》，集中采购目录内的品目必须委托政府集中采购机构采购，集中采购目录外的品目可以委托政府集中采购机构采购，也可以委托其他社会代理机构采购。如果采购项目中既有集中采购目录内的品目也有集中采购目录外的品目，原则上应当合并执行，一并委托政府集中采购机构采购。</w:t>
      </w:r>
    </w:p>
    <w:p w14:paraId="4633062A">
      <w:pPr>
        <w:pStyle w:val="2"/>
        <w:bidi w:val="0"/>
      </w:pPr>
      <w:bookmarkStart w:id="8" w:name="_Toc28301"/>
      <w:r>
        <w:rPr>
          <w:rFonts w:hint="eastAsia"/>
        </w:rPr>
        <w:t>·采购方式认定篇</w:t>
      </w:r>
      <w:bookmarkEnd w:id="8"/>
    </w:p>
    <w:p w14:paraId="2E80411E">
      <w:pPr>
        <w:pStyle w:val="3"/>
        <w:bidi w:val="0"/>
        <w:rPr>
          <w:rFonts w:hint="eastAsia"/>
          <w:b/>
        </w:rPr>
      </w:pPr>
      <w:bookmarkStart w:id="9" w:name="_Toc32694"/>
      <w:r>
        <w:rPr>
          <w:rFonts w:hint="eastAsia"/>
          <w:b/>
        </w:rPr>
        <w:t>问题1：政府采购形式有哪几种？</w:t>
      </w:r>
      <w:bookmarkEnd w:id="9"/>
    </w:p>
    <w:p w14:paraId="3092FABF">
      <w:pPr>
        <w:bidi w:val="0"/>
        <w:rPr>
          <w:rFonts w:hint="eastAsia" w:ascii="仿宋" w:hAnsi="仿宋" w:eastAsia="仿宋"/>
          <w:sz w:val="28"/>
          <w:szCs w:val="28"/>
          <w:lang w:eastAsia="zh-CN"/>
        </w:rPr>
      </w:pPr>
      <w:r>
        <w:rPr>
          <w:rFonts w:hint="eastAsia"/>
          <w:b/>
          <w:bCs/>
        </w:rPr>
        <w:t>答复</w:t>
      </w:r>
      <w:r>
        <w:rPr>
          <w:rFonts w:hint="eastAsia"/>
        </w:rPr>
        <w:t>：政府采购形式分为集中采购和分散采购。</w:t>
      </w:r>
      <w:r>
        <w:rPr>
          <w:rFonts w:hint="eastAsia"/>
          <w:b/>
          <w:bCs/>
        </w:rPr>
        <w:t>集中采购</w:t>
      </w:r>
      <w:r>
        <w:rPr>
          <w:rFonts w:hint="eastAsia"/>
        </w:rPr>
        <w:t>，是指采购人将列入集中采购目录的项目委托集中采购代理机构采购或者进行部门集中采购的行为；</w:t>
      </w:r>
      <w:r>
        <w:rPr>
          <w:rFonts w:hint="eastAsia"/>
          <w:b/>
          <w:bCs/>
        </w:rPr>
        <w:t>分散采购</w:t>
      </w:r>
      <w:r>
        <w:rPr>
          <w:rFonts w:hint="eastAsia"/>
        </w:rPr>
        <w:t>，是指采购限额标准以上的未列入集中采购目录的项目，由采购人自行组织或者委托采购代理机构代理采购</w:t>
      </w:r>
      <w:r>
        <w:rPr>
          <w:rFonts w:hint="eastAsia"/>
          <w:lang w:eastAsia="zh-CN"/>
        </w:rPr>
        <w:t>。</w:t>
      </w:r>
    </w:p>
    <w:p w14:paraId="11AA326D">
      <w:pPr>
        <w:pStyle w:val="3"/>
        <w:bidi w:val="0"/>
      </w:pPr>
      <w:bookmarkStart w:id="10" w:name="_Toc6947"/>
      <w:r>
        <w:rPr>
          <w:rFonts w:hint="eastAsia"/>
        </w:rPr>
        <w:t>问题</w:t>
      </w:r>
      <w:r>
        <w:t>2：政府采购方式主要有哪几种？</w:t>
      </w:r>
      <w:bookmarkEnd w:id="10"/>
    </w:p>
    <w:p w14:paraId="495D4C8C">
      <w:pPr>
        <w:bidi w:val="0"/>
      </w:pPr>
      <w:r>
        <w:rPr>
          <w:rFonts w:hint="eastAsia"/>
          <w:b/>
          <w:bCs/>
        </w:rPr>
        <w:t>答复</w:t>
      </w:r>
      <w:r>
        <w:rPr>
          <w:rFonts w:hint="eastAsia"/>
        </w:rPr>
        <w:t>：至2</w:t>
      </w:r>
      <w:r>
        <w:t>026</w:t>
      </w:r>
      <w:r>
        <w:rPr>
          <w:rFonts w:hint="eastAsia"/>
        </w:rPr>
        <w:t>年</w:t>
      </w:r>
      <w:r>
        <w:t>8</w:t>
      </w:r>
      <w:r>
        <w:rPr>
          <w:rFonts w:hint="eastAsia"/>
        </w:rPr>
        <w:t>月，政府采购方式主要有：公开招标、邀请招标、竞争性谈判、竞争性磋商、单一来源采购、询价采购、框架协议、合作创新采购、网上超市。</w:t>
      </w:r>
    </w:p>
    <w:p w14:paraId="2E68509E">
      <w:pPr>
        <w:pStyle w:val="3"/>
        <w:bidi w:val="0"/>
      </w:pPr>
      <w:bookmarkStart w:id="11" w:name="_Toc4371"/>
      <w:r>
        <w:rPr>
          <w:rFonts w:hint="eastAsia"/>
        </w:rPr>
        <w:t>问题</w:t>
      </w:r>
      <w:r>
        <w:t>3：主要采购方式的区别？</w:t>
      </w:r>
      <w:bookmarkEnd w:id="11"/>
    </w:p>
    <w:p w14:paraId="72E997E9">
      <w:pPr>
        <w:spacing w:line="360" w:lineRule="exact"/>
        <w:rPr>
          <w:rFonts w:ascii="仿宋" w:hAnsi="仿宋" w:eastAsia="仿宋"/>
          <w:b/>
          <w:bCs/>
          <w:sz w:val="28"/>
          <w:szCs w:val="28"/>
        </w:rPr>
      </w:pPr>
      <w:r>
        <w:rPr>
          <w:rFonts w:hint="eastAsia" w:ascii="仿宋" w:hAnsi="仿宋" w:eastAsia="仿宋"/>
          <w:b/>
          <w:bCs/>
          <w:sz w:val="32"/>
          <w:szCs w:val="32"/>
        </w:rPr>
        <w:t>答复</w:t>
      </w:r>
      <w:r>
        <w:rPr>
          <w:rFonts w:hint="eastAsia" w:ascii="仿宋" w:hAnsi="仿宋" w:eastAsia="仿宋"/>
          <w:b/>
          <w:bCs/>
          <w:sz w:val="28"/>
          <w:szCs w:val="28"/>
        </w:rPr>
        <w:t>：</w:t>
      </w:r>
    </w:p>
    <w:p w14:paraId="0675AFAC">
      <w:pPr>
        <w:jc w:val="both"/>
        <w:rPr>
          <w:rFonts w:ascii="仿宋" w:hAnsi="仿宋" w:eastAsia="仿宋"/>
          <w:sz w:val="28"/>
          <w:szCs w:val="28"/>
        </w:rPr>
      </w:pPr>
      <w:r>
        <w:drawing>
          <wp:inline distT="0" distB="0" distL="0" distR="0">
            <wp:extent cx="5691505" cy="3272155"/>
            <wp:effectExtent l="0" t="0" r="4445"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stretch>
                      <a:fillRect/>
                    </a:stretch>
                  </pic:blipFill>
                  <pic:spPr>
                    <a:xfrm>
                      <a:off x="0" y="0"/>
                      <a:ext cx="5691505" cy="3272155"/>
                    </a:xfrm>
                    <a:prstGeom prst="rect">
                      <a:avLst/>
                    </a:prstGeom>
                  </pic:spPr>
                </pic:pic>
              </a:graphicData>
            </a:graphic>
          </wp:inline>
        </w:drawing>
      </w:r>
    </w:p>
    <w:p w14:paraId="605B0D2E">
      <w:pPr>
        <w:spacing w:line="360" w:lineRule="exact"/>
        <w:ind w:left="0" w:leftChars="0" w:firstLine="0" w:firstLineChars="0"/>
        <w:rPr>
          <w:rFonts w:hint="eastAsia" w:ascii="仿宋" w:hAnsi="仿宋" w:eastAsia="仿宋"/>
          <w:b/>
          <w:bCs/>
          <w:color w:val="FF0000"/>
          <w:sz w:val="28"/>
          <w:szCs w:val="28"/>
        </w:rPr>
      </w:pPr>
    </w:p>
    <w:p w14:paraId="33DD897D">
      <w:pPr>
        <w:pStyle w:val="3"/>
        <w:bidi w:val="0"/>
      </w:pPr>
      <w:bookmarkStart w:id="12" w:name="_Toc30670"/>
      <w:r>
        <w:rPr>
          <w:rFonts w:hint="eastAsia"/>
        </w:rPr>
        <w:t>问题</w:t>
      </w:r>
      <w:r>
        <w:t>4：竞争性谈判和竞争性磋商有什么区别？</w:t>
      </w:r>
      <w:bookmarkEnd w:id="12"/>
    </w:p>
    <w:p w14:paraId="54F04EDC">
      <w:pPr>
        <w:bidi w:val="0"/>
      </w:pPr>
      <w:r>
        <w:rPr>
          <w:rFonts w:hint="eastAsia"/>
          <w:b/>
          <w:bCs/>
        </w:rPr>
        <w:t>答复</w:t>
      </w:r>
      <w:r>
        <w:rPr>
          <w:rFonts w:hint="eastAsia"/>
        </w:rPr>
        <w:t>：两者最核心的区别是评审方式不同，这直接决定了适用场景的差异，采用何种采购方式须对应其适用情形。</w:t>
      </w:r>
    </w:p>
    <w:p w14:paraId="220E2E95">
      <w:pPr>
        <w:bidi w:val="0"/>
      </w:pPr>
      <w:r>
        <w:rPr>
          <w:rFonts w:hint="eastAsia"/>
          <w:b/>
          <w:bCs/>
        </w:rPr>
        <w:t>竞争性谈判的核心是“谈判”</w:t>
      </w:r>
      <w:r>
        <w:rPr>
          <w:rFonts w:hint="eastAsia"/>
        </w:rPr>
        <w:t>——在谈判过程中逐步明确需求和价格，价格因素占主导，适用于需求本身还不明确、需要在采购过程中逐步厘清的项目，或者公开招标后出现无供应商投标的情况。</w:t>
      </w:r>
    </w:p>
    <w:p w14:paraId="32D16008">
      <w:pPr>
        <w:bidi w:val="0"/>
        <w:rPr>
          <w:rFonts w:ascii="仿宋" w:hAnsi="仿宋" w:eastAsia="仿宋"/>
          <w:sz w:val="28"/>
          <w:szCs w:val="28"/>
        </w:rPr>
      </w:pPr>
      <w:r>
        <w:rPr>
          <w:rFonts w:hint="eastAsia"/>
          <w:b/>
          <w:bCs/>
        </w:rPr>
        <w:t>竞争性磋商的核心是“综合评分”</w:t>
      </w:r>
      <w:r>
        <w:rPr>
          <w:rFonts w:hint="eastAsia"/>
        </w:rPr>
        <w:t>——允许澄清需求，但最终通过综合评分（技术+价格）确定成交供应商，技术质量和价格并重。适用于需求基本明确但需要供应商提供方案比选的项目。对于信息化定制开发和运维服务项目，竞争性磋商通常是更合适的选择。它既允许在磋商过程中澄清技术细节，又通过综合评分保证了对技术质量的考量，不会因为过度强调价格竞争而筛选出“敢承诺、不兑现”的供应商。</w:t>
      </w:r>
    </w:p>
    <w:p w14:paraId="255DDCDD">
      <w:pPr>
        <w:pStyle w:val="3"/>
        <w:bidi w:val="0"/>
      </w:pPr>
      <w:bookmarkStart w:id="13" w:name="_Toc18025"/>
      <w:r>
        <w:rPr>
          <w:rFonts w:hint="eastAsia"/>
        </w:rPr>
        <w:t>问题</w:t>
      </w:r>
      <w:r>
        <w:t>5：</w:t>
      </w:r>
      <w:r>
        <w:rPr>
          <w:rFonts w:hint="eastAsia"/>
        </w:rPr>
        <w:t>学校集中采购项目什么情况下可以用单一来源？</w:t>
      </w:r>
      <w:bookmarkEnd w:id="13"/>
    </w:p>
    <w:p w14:paraId="1CEEC87A">
      <w:pPr>
        <w:bidi w:val="0"/>
      </w:pPr>
      <w:r>
        <w:rPr>
          <w:rFonts w:hint="eastAsia"/>
          <w:b/>
          <w:bCs/>
        </w:rPr>
        <w:t>答复</w:t>
      </w:r>
      <w:r>
        <w:rPr>
          <w:rFonts w:hint="eastAsia"/>
        </w:rPr>
        <w:t>：单一来源的适用情形是法定的，不是“觉得合适就能用”。《政府采购法》规定，符合以下情形之一的，可以采用单一来源：（一）只能从唯一供应商处采购的；（二）发生了不可预见的紧急情况不能从其他供应商处采购的；（三）必须保证原有采购项目一致性或者服务配套的要求，需要继续从原供应商处添购，且添购资金总额不超过原合同采购金额百分之十的；（四）属于原采购项目的后续维修、零配件供应、更换或扩充，必须向原供应商采购的。单一来源必须坚持的底线是：单一来源的论证材料必须能够证明“为什么只有这一家供应商能提供”，而不是“我们觉得这家比较合适”。这两者有本质区别。</w:t>
      </w:r>
    </w:p>
    <w:p w14:paraId="0F8DC105">
      <w:pPr>
        <w:bidi w:val="0"/>
      </w:pPr>
      <w:r>
        <w:rPr>
          <w:rFonts w:hint="eastAsia"/>
        </w:rPr>
        <w:t xml:space="preserve"> </w:t>
      </w:r>
      <w:r>
        <w:t xml:space="preserve">   </w:t>
      </w:r>
      <w:r>
        <w:rPr>
          <w:rFonts w:hint="eastAsia"/>
        </w:rPr>
        <w:t>采用单一来源还需要在指定媒体进行公示，公示期内如有其他供应商表示能够提供，采购人必须认真核实，不能直接忽略。单一来源是质疑投诉和审计检查的高发区，论证不充分的后果是整个采购程序被推翻重来。</w:t>
      </w:r>
    </w:p>
    <w:p w14:paraId="4E711567">
      <w:pPr>
        <w:pStyle w:val="3"/>
        <w:bidi w:val="0"/>
      </w:pPr>
      <w:bookmarkStart w:id="14" w:name="_Toc31974"/>
      <w:r>
        <w:rPr>
          <w:rFonts w:hint="eastAsia"/>
        </w:rPr>
        <w:t>问题</w:t>
      </w:r>
      <w:r>
        <w:t>6：政府采购评审方法有哪些？</w:t>
      </w:r>
      <w:bookmarkEnd w:id="14"/>
    </w:p>
    <w:p w14:paraId="634EFDA9">
      <w:pPr>
        <w:bidi w:val="0"/>
      </w:pPr>
      <w:r>
        <w:rPr>
          <w:rFonts w:hint="eastAsia"/>
          <w:b/>
          <w:bCs/>
        </w:rPr>
        <w:t>答复</w:t>
      </w:r>
      <w:r>
        <w:rPr>
          <w:rFonts w:hint="eastAsia"/>
        </w:rPr>
        <w:t>：</w:t>
      </w:r>
      <w:r>
        <w:rPr>
          <w:rFonts w:hint="eastAsia"/>
          <w:b/>
          <w:bCs/>
        </w:rPr>
        <w:t>1.最低评标价法</w:t>
      </w:r>
      <w:r>
        <w:rPr>
          <w:rFonts w:hint="eastAsia"/>
        </w:rPr>
        <w:t>：指以价格为主要因素确定中标候选供应商的评标方法。</w:t>
      </w:r>
      <w:r>
        <w:t>适用于标准规格统一的商品及通用服务项目</w:t>
      </w:r>
      <w:r>
        <w:rPr>
          <w:rFonts w:hint="eastAsia"/>
        </w:rPr>
        <w:t>。</w:t>
      </w:r>
      <w:r>
        <w:rPr>
          <w:rFonts w:hint="eastAsia"/>
          <w:b/>
          <w:bCs/>
        </w:rPr>
        <w:t>2.综合评分法</w:t>
      </w:r>
      <w:r>
        <w:rPr>
          <w:rFonts w:hint="eastAsia"/>
        </w:rPr>
        <w:t>：指投标文件满足招标文件全部实质性要求且按评审因素的量化指标评审，得分最高的供应商为中标候选人的评标方法。</w:t>
      </w:r>
      <w:r>
        <w:t>评审因素包括：价格、商务、技术、服务四部分内容。</w:t>
      </w:r>
      <w:r>
        <w:rPr>
          <w:rFonts w:hint="eastAsia"/>
        </w:rPr>
        <w:t>采用公开招标方式：</w:t>
      </w:r>
      <w:r>
        <w:t>货物类项目的价格分权值：30%；服务类项目的价格分权值：10%；</w:t>
      </w:r>
      <w:r>
        <w:rPr>
          <w:rFonts w:hint="eastAsia"/>
        </w:rPr>
        <w:t>采用竞争性磋商方式：</w:t>
      </w:r>
      <w:r>
        <w:t>货物类项目的价格分权值：30%</w:t>
      </w:r>
      <w:r>
        <w:rPr>
          <w:rFonts w:hint="eastAsia"/>
        </w:rPr>
        <w:t>-60%</w:t>
      </w:r>
      <w:r>
        <w:t>；服务类项目的价格分权值：10%</w:t>
      </w:r>
      <w:r>
        <w:rPr>
          <w:rFonts w:hint="eastAsia"/>
        </w:rPr>
        <w:t>-30%</w:t>
      </w:r>
      <w:r>
        <w:t>；评标基准价计算方法统一采用最低价优先法，即满足招标文件要求且投标价格最低的投标报价作为评标基准价，其价格分为满分。其他投标人价格分计算公式：投标报价得分=评标基准价/有效投标报价*价格权值*100</w:t>
      </w:r>
      <w:r>
        <w:rPr>
          <w:rFonts w:hint="eastAsia"/>
        </w:rPr>
        <w:t>。</w:t>
      </w:r>
    </w:p>
    <w:p w14:paraId="34385660">
      <w:pPr>
        <w:pStyle w:val="2"/>
        <w:bidi w:val="0"/>
      </w:pPr>
      <w:bookmarkStart w:id="15" w:name="_Toc12914"/>
      <w:r>
        <w:rPr>
          <w:rFonts w:hint="eastAsia"/>
        </w:rPr>
        <w:t>·招标采购流程篇</w:t>
      </w:r>
      <w:bookmarkEnd w:id="15"/>
    </w:p>
    <w:p w14:paraId="70568367">
      <w:pPr>
        <w:pStyle w:val="3"/>
        <w:bidi w:val="0"/>
      </w:pPr>
      <w:bookmarkStart w:id="16" w:name="_Toc1784"/>
      <w:r>
        <w:rPr>
          <w:rFonts w:hint="eastAsia"/>
        </w:rPr>
        <w:t>问题</w:t>
      </w:r>
      <w:r>
        <w:t>1：学校集中采购流程主要有哪些？</w:t>
      </w:r>
      <w:bookmarkEnd w:id="16"/>
    </w:p>
    <w:p w14:paraId="41FC0127">
      <w:pPr>
        <w:bidi w:val="0"/>
      </w:pPr>
      <w:r>
        <w:rPr>
          <w:rFonts w:hint="eastAsia"/>
          <w:b/>
          <w:bCs/>
        </w:rPr>
        <w:t>答复</w:t>
      </w:r>
      <w:r>
        <w:rPr>
          <w:rFonts w:hint="eastAsia"/>
        </w:rPr>
        <w:t>：采购需求调查（确定采购预算）—采购意向公开—采购实施计划制定及实施（采购申请、确定组织形式和采购方式、委托代理机构并编制招标文件、确认招标文件、组织开标、评标与定标）—采购合同签订及履行—验收入库及付款—档案管理。</w:t>
      </w:r>
    </w:p>
    <w:p w14:paraId="7BC4FD05">
      <w:pPr>
        <w:bidi w:val="0"/>
      </w:pPr>
      <w:r>
        <w:rPr>
          <w:rFonts w:hint="eastAsia"/>
        </w:rPr>
        <w:t>注：采购意向公开环节可根据项目申请具体情况予以办理。以年初部分公开与具体项目公开相结合。</w:t>
      </w:r>
    </w:p>
    <w:p w14:paraId="4F2BB070">
      <w:pPr>
        <w:spacing w:line="360" w:lineRule="exact"/>
        <w:rPr>
          <w:rFonts w:ascii="仿宋" w:hAnsi="仿宋" w:eastAsia="仿宋"/>
          <w:sz w:val="28"/>
          <w:szCs w:val="28"/>
        </w:rPr>
      </w:pPr>
    </w:p>
    <w:p w14:paraId="5A1C89D5">
      <w:pPr>
        <w:pStyle w:val="3"/>
        <w:bidi w:val="0"/>
      </w:pPr>
      <w:bookmarkStart w:id="17" w:name="_Toc26970"/>
      <w:r>
        <w:rPr>
          <w:rFonts w:hint="eastAsia"/>
        </w:rPr>
        <w:t>问题</w:t>
      </w:r>
      <w:r>
        <w:t>2：什么是采购需求管理？</w:t>
      </w:r>
      <w:bookmarkEnd w:id="17"/>
    </w:p>
    <w:p w14:paraId="2C42488E">
      <w:pPr>
        <w:bidi w:val="0"/>
        <w:rPr>
          <w:rFonts w:ascii="仿宋" w:hAnsi="仿宋" w:eastAsia="仿宋"/>
          <w:sz w:val="28"/>
          <w:szCs w:val="28"/>
        </w:rPr>
      </w:pPr>
      <w:r>
        <w:rPr>
          <w:rFonts w:hint="eastAsia"/>
          <w:b/>
          <w:bCs/>
        </w:rPr>
        <w:t>答复</w:t>
      </w:r>
      <w:r>
        <w:rPr>
          <w:rFonts w:hint="eastAsia"/>
        </w:rPr>
        <w:t>：《政府采购需求管理办法》指出政府采购需求管理是指采购人组织确定采购需求和编制采购实施计划，并实施相关风险控制管理的活动。采购人应开展采购需求管理各项工作，并对采购需求管理过程形成的材料进行归档备查。</w:t>
      </w:r>
    </w:p>
    <w:p w14:paraId="05E638B8">
      <w:pPr>
        <w:pStyle w:val="3"/>
        <w:bidi w:val="0"/>
      </w:pPr>
      <w:bookmarkStart w:id="18" w:name="_Toc9222"/>
      <w:r>
        <w:rPr>
          <w:rFonts w:hint="eastAsia"/>
        </w:rPr>
        <w:t>问题</w:t>
      </w:r>
      <w:r>
        <w:t>3：采购需求如何取得？</w:t>
      </w:r>
      <w:bookmarkEnd w:id="18"/>
    </w:p>
    <w:p w14:paraId="55D66ED6">
      <w:pPr>
        <w:bidi w:val="0"/>
        <w:rPr>
          <w:rFonts w:ascii="仿宋" w:hAnsi="仿宋" w:eastAsia="仿宋"/>
          <w:sz w:val="28"/>
          <w:szCs w:val="28"/>
        </w:rPr>
      </w:pPr>
      <w:r>
        <w:rPr>
          <w:rFonts w:hint="eastAsia"/>
          <w:b/>
          <w:bCs/>
        </w:rPr>
        <w:t>答复</w:t>
      </w:r>
      <w:r>
        <w:rPr>
          <w:rFonts w:hint="eastAsia"/>
        </w:rPr>
        <w:t>：采购人可以</w:t>
      </w:r>
      <w:r>
        <w:t>通过咨询、论证、问卷调查等方式开展需求调查，了解相关产业发展、市场供给、同类采购项目历史成交信息，可能涉及的运行维护、升级更新、备品备件、耗材等后续采购，以及其他相关情况</w:t>
      </w:r>
      <w:r>
        <w:rPr>
          <w:rFonts w:hint="eastAsia"/>
        </w:rPr>
        <w:t>。面向市场主体开展需求调查时，选择的调查对象一般不少于</w:t>
      </w:r>
      <w:r>
        <w:t>3个，并应当具有代表性</w:t>
      </w:r>
      <w:r>
        <w:rPr>
          <w:rFonts w:hint="eastAsia"/>
        </w:rPr>
        <w:t>。</w:t>
      </w:r>
    </w:p>
    <w:p w14:paraId="1E66F5AA">
      <w:pPr>
        <w:pStyle w:val="3"/>
        <w:bidi w:val="0"/>
      </w:pPr>
      <w:bookmarkStart w:id="19" w:name="_Toc2428"/>
      <w:r>
        <w:rPr>
          <w:rFonts w:hint="eastAsia"/>
        </w:rPr>
        <w:t>问题</w:t>
      </w:r>
      <w:r>
        <w:t>4：采购需求中技术参数的审查标准是什么？</w:t>
      </w:r>
      <w:bookmarkEnd w:id="19"/>
    </w:p>
    <w:p w14:paraId="5208868F">
      <w:pPr>
        <w:bidi w:val="0"/>
        <w:rPr>
          <w:rFonts w:ascii="仿宋" w:hAnsi="仿宋" w:eastAsia="仿宋"/>
          <w:sz w:val="28"/>
          <w:szCs w:val="28"/>
        </w:rPr>
      </w:pPr>
      <w:r>
        <w:rPr>
          <w:rFonts w:hint="eastAsia"/>
          <w:b/>
          <w:bCs/>
        </w:rPr>
        <w:t>答复</w:t>
      </w:r>
      <w:r>
        <w:rPr>
          <w:rFonts w:hint="eastAsia"/>
        </w:rPr>
        <w:t>：</w:t>
      </w:r>
      <w:r>
        <w:t>不得指定品牌型号，不得设置排他性条款，不得与特定供应商的资质条件挂钩。</w:t>
      </w:r>
      <w:r>
        <w:rPr>
          <w:rFonts w:hint="eastAsia"/>
        </w:rPr>
        <w:t>二级单位采购工作小组应对项目的采购需求中技术参数可行性及价格合理性等负责，需求论证是预算编制的源头与基础。</w:t>
      </w:r>
    </w:p>
    <w:p w14:paraId="2C1F01EE">
      <w:pPr>
        <w:pStyle w:val="3"/>
        <w:bidi w:val="0"/>
      </w:pPr>
      <w:bookmarkStart w:id="20" w:name="_Toc10204"/>
      <w:r>
        <w:rPr>
          <w:rFonts w:hint="eastAsia"/>
        </w:rPr>
        <w:t>问题</w:t>
      </w:r>
      <w:r>
        <w:t>5：按学校文件规定哪些项目应当开展需求调查？</w:t>
      </w:r>
      <w:bookmarkEnd w:id="20"/>
    </w:p>
    <w:p w14:paraId="3C99C31B">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sz w:val="28"/>
          <w:szCs w:val="28"/>
        </w:rPr>
      </w:pPr>
      <w:r>
        <w:rPr>
          <w:rFonts w:hint="eastAsia"/>
          <w:b/>
          <w:bCs/>
        </w:rPr>
        <w:t>答复</w:t>
      </w:r>
      <w:r>
        <w:rPr>
          <w:rFonts w:hint="eastAsia"/>
        </w:rPr>
        <w:t>：针对政府采购项目开展需求调查，并在校采资系统上提交相关材料。1.对于下列采购项目，按要求填写《福建理工大学采购询价单》、《福建理工大学政府采购项目采购需求调查表》，还应按《政府采购需求管理办法》执行，做好一般审查和重点审查：预算金额1000万元（含）以上的货物和服务政府采购项目；涉及公共利益、社会关注度较高的采购项目；技术复杂、专业性较强的项目，包括需定制开发的信息化建设政府采购项目、采购进口产品的项目等；主管预算单位或者采购人认为需要开展需求调查的其他政府采购项目。2.上述情形之外，预算金额300万元（含）-1000万元的货物和服务政府采购项目，按要求填写《福建理工大学采购询价单》、《福建理工大学政府采购项目采购需求调查表》；预算金额3万元（含）-300万元的货物和服务采购项目，按要求填写《福建理工大学采购询价单》。3.</w:t>
      </w:r>
      <w:r>
        <w:t>一年内，已开展过需求调查的，不再重复开展</w:t>
      </w:r>
      <w:r>
        <w:rPr>
          <w:rFonts w:hint="eastAsia"/>
        </w:rPr>
        <w:t>；采</w:t>
      </w:r>
      <w:r>
        <w:t>购项目有可研的，已包含的内容，不再重复；未包含的部分，要开展需求调查。</w:t>
      </w:r>
    </w:p>
    <w:p w14:paraId="71DEACC3">
      <w:pPr>
        <w:pStyle w:val="3"/>
        <w:bidi w:val="0"/>
      </w:pPr>
      <w:bookmarkStart w:id="21" w:name="_Toc29412"/>
      <w:r>
        <w:rPr>
          <w:rFonts w:hint="eastAsia"/>
        </w:rPr>
        <w:t>问题</w:t>
      </w:r>
      <w:r>
        <w:t>6：政府采购采购意向公开是必须要的吗？</w:t>
      </w:r>
      <w:bookmarkEnd w:id="21"/>
    </w:p>
    <w:p w14:paraId="751BCC96">
      <w:pPr>
        <w:bidi w:val="0"/>
        <w:rPr>
          <w:rFonts w:ascii="仿宋" w:hAnsi="仿宋" w:eastAsia="仿宋"/>
          <w:b/>
          <w:bCs/>
          <w:sz w:val="28"/>
          <w:szCs w:val="28"/>
        </w:rPr>
      </w:pPr>
      <w:r>
        <w:rPr>
          <w:rFonts w:hint="eastAsia"/>
          <w:b/>
          <w:bCs/>
        </w:rPr>
        <w:t>答复</w:t>
      </w:r>
      <w:r>
        <w:rPr>
          <w:rFonts w:hint="eastAsia"/>
        </w:rPr>
        <w:t>：政府采购项目必须要进行采购意向公开。1.公开范围。采购意向按采购项目公开。除以框架协议方式实施的小额零星采购和由集中采购机构统一组织的批量集中采购及涉密项目外，政府集中采购目录以内或者采购限额标准以上的货物、工程、服务采购均应当公开采购意向；2.集中采购目录以内的项目（包括网超采购）没有金额起点，无论采购金额多少都要落实意向公开，采购限额标准以上的项目也就是分散采购公开范围按照目录标准执行；3.采购意向公开的内容应当包括采购项目名称、采购需求概况、预算金额、预计采购时间等。其中，采购需求概况应当包括采购标的名称，采购标的需实现的主要功能或者目标，采购标的数量，以及采购标的需满足的质量、服务、安全、时限等要求；4.采购意向公开时间应当尽量提前，原则上不得晚于采购活动开始（以采购公告发布时间为准）前</w:t>
      </w:r>
      <w:r>
        <w:t>30日公开采购意向。</w:t>
      </w:r>
      <w:r>
        <w:rPr>
          <w:rFonts w:hint="eastAsia"/>
        </w:rPr>
        <w:t>5.</w:t>
      </w:r>
      <w:r>
        <w:t>因预算单位不可预见的原因急需开展的采购项目，可不公开采购意向，走紧急通道按要求提交相关证明材料。</w:t>
      </w:r>
      <w:bookmarkStart w:id="22" w:name="_Hlk236501391"/>
    </w:p>
    <w:p w14:paraId="5B9166C8">
      <w:pPr>
        <w:pStyle w:val="3"/>
        <w:bidi w:val="0"/>
      </w:pPr>
      <w:bookmarkStart w:id="23" w:name="_Toc10237"/>
      <w:r>
        <w:rPr>
          <w:rFonts w:hint="eastAsia"/>
        </w:rPr>
        <w:t>问题</w:t>
      </w:r>
      <w:r>
        <w:t>7</w:t>
      </w:r>
      <w:r>
        <w:rPr>
          <w:rFonts w:hint="eastAsia"/>
        </w:rPr>
        <w:t>：学校集中采购项目的招标文件编制的内控规定有哪些？</w:t>
      </w:r>
      <w:bookmarkEnd w:id="23"/>
    </w:p>
    <w:p w14:paraId="761D67D0">
      <w:pPr>
        <w:bidi w:val="0"/>
        <w:rPr>
          <w:rFonts w:hint="eastAsia"/>
        </w:rPr>
      </w:pPr>
      <w:r>
        <w:rPr>
          <w:rFonts w:hint="eastAsia"/>
          <w:b/>
          <w:bCs/>
        </w:rPr>
        <w:t>答复</w:t>
      </w:r>
      <w:r>
        <w:rPr>
          <w:rFonts w:hint="eastAsia"/>
        </w:rPr>
        <w:t>：</w:t>
      </w:r>
    </w:p>
    <w:p w14:paraId="2BD2BF80">
      <w:pPr>
        <w:bidi w:val="0"/>
      </w:pPr>
      <w:r>
        <w:rPr>
          <w:rFonts w:hint="eastAsia"/>
        </w:rPr>
        <w:t>1.资格条件：不能限定供应商所有制形式、注册地、经营范围、特定行政区域或行业业绩、注册资本、成立年限、纳税额、生产厂家授权等；</w:t>
      </w:r>
    </w:p>
    <w:p w14:paraId="2B2E8362">
      <w:pPr>
        <w:bidi w:val="0"/>
      </w:pPr>
      <w:r>
        <w:rPr>
          <w:rFonts w:hint="eastAsia"/>
        </w:rPr>
        <w:t>2.评审方法及标准：不能特定行政区域或行业业绩、售后服务机构作为加分项、同一业绩重复加分</w:t>
      </w:r>
      <w:r>
        <w:t>，资格条件作为评分因素、分值设置未与评审因素的量化指标相对应、综合评分法的实质性条款设置过多、尺寸重量设置固定值、高于采购需求的标准等。</w:t>
      </w:r>
    </w:p>
    <w:p w14:paraId="4F09608C">
      <w:pPr>
        <w:bidi w:val="0"/>
      </w:pPr>
      <w:r>
        <w:t>3</w:t>
      </w:r>
      <w:r>
        <w:rPr>
          <w:rFonts w:hint="eastAsia"/>
        </w:rPr>
        <w:t>.招标文件中技术评审因素应与产品或者服务要求有关，商务评审因素应与投标人履约能力有关。学校内控还要求，招标文件中重要技术参数统一标识：</w:t>
      </w:r>
      <w:r>
        <w:t>无效投标处理</w:t>
      </w:r>
      <w:r>
        <w:rPr>
          <w:rFonts w:hint="eastAsia"/>
        </w:rPr>
        <w:t>—</w:t>
      </w:r>
      <w:r>
        <w:t>标注“</w:t>
      </w:r>
      <w:r>
        <w:rPr>
          <w:rFonts w:hint="eastAsia"/>
        </w:rPr>
        <w:t>★</w:t>
      </w:r>
      <w:r>
        <w:t>”(不允许负偏离)，重要参数扣分项—标注“▲”</w:t>
      </w:r>
      <w:r>
        <w:rPr>
          <w:rFonts w:hint="eastAsia"/>
        </w:rPr>
        <w:t>；一个包“标识★</w:t>
      </w:r>
      <w:r>
        <w:t>+▲的参数</w:t>
      </w:r>
      <w:r>
        <w:rPr>
          <w:rFonts w:hint="eastAsia"/>
        </w:rPr>
        <w:t>≤9项参数”；招标文件中所要求的“检测报告+功能截图+软著≤9项参数”。若要求具有CMA标识检测报告的，则必须满足国家“一单一库”的政策。</w:t>
      </w:r>
    </w:p>
    <w:p w14:paraId="1C8DEF9A">
      <w:pPr>
        <w:pStyle w:val="2"/>
        <w:bidi w:val="0"/>
      </w:pPr>
      <w:bookmarkStart w:id="24" w:name="_Toc27665"/>
      <w:r>
        <w:rPr>
          <w:rFonts w:hint="eastAsia"/>
        </w:rPr>
        <w:t>·采购预算篇</w:t>
      </w:r>
      <w:bookmarkEnd w:id="24"/>
    </w:p>
    <w:bookmarkEnd w:id="22"/>
    <w:p w14:paraId="0C2D95C7">
      <w:pPr>
        <w:pStyle w:val="3"/>
        <w:bidi w:val="0"/>
      </w:pPr>
      <w:bookmarkStart w:id="25" w:name="_Toc17389"/>
      <w:r>
        <w:rPr>
          <w:rFonts w:hint="eastAsia"/>
        </w:rPr>
        <w:t>问题</w:t>
      </w:r>
      <w:r>
        <w:t>1：学校采购预算如何申报?</w:t>
      </w:r>
      <w:bookmarkEnd w:id="25"/>
    </w:p>
    <w:p w14:paraId="2E2AE273">
      <w:pPr>
        <w:bidi w:val="0"/>
        <w:ind w:firstLine="880"/>
        <w:rPr>
          <w:rFonts w:ascii="仿宋" w:hAnsi="仿宋" w:eastAsia="仿宋"/>
          <w:b/>
          <w:bCs/>
          <w:sz w:val="28"/>
          <w:szCs w:val="28"/>
        </w:rPr>
      </w:pPr>
      <w:r>
        <w:rPr>
          <w:rFonts w:hint="eastAsia"/>
        </w:rPr>
        <w:t>答复：按福建省财政厅、福建省教育厅要求，每年6月-7月，资产管理处与计划财务处共同发布次年学校采购预算申报通知。采购预算申报需通过学校融合门户进行申报。</w:t>
      </w:r>
      <w:r>
        <w:rPr>
          <w:rFonts w:hint="eastAsia"/>
          <w:b/>
          <w:bCs/>
        </w:rPr>
        <w:t>申报入口</w:t>
      </w:r>
      <w:r>
        <w:rPr>
          <w:rFonts w:hint="eastAsia"/>
        </w:rPr>
        <w:t>：福建理工大学校内导航→ 融合门户 → 一网通办 → 部门服务 → 资产管理处 → 政府采购预算申报表。详细信息会在每年发布的“关于开展XX年度政府采购预算编制与申报工作的通知”中具体介绍。</w:t>
      </w:r>
    </w:p>
    <w:p w14:paraId="3E3E3323">
      <w:pPr>
        <w:pStyle w:val="3"/>
        <w:bidi w:val="0"/>
      </w:pPr>
      <w:bookmarkStart w:id="26" w:name="_Toc9605"/>
      <w:r>
        <w:rPr>
          <w:rFonts w:hint="eastAsia"/>
        </w:rPr>
        <w:t>问题</w:t>
      </w:r>
      <w:r>
        <w:t>2：政府采购预算必须单独申报吗？</w:t>
      </w:r>
      <w:bookmarkEnd w:id="26"/>
    </w:p>
    <w:p w14:paraId="733CABFD">
      <w:pPr>
        <w:bidi w:val="0"/>
      </w:pPr>
      <w:r>
        <w:rPr>
          <w:rFonts w:hint="eastAsia"/>
          <w:b/>
          <w:bCs/>
        </w:rPr>
        <w:t>答复</w:t>
      </w:r>
      <w:r>
        <w:rPr>
          <w:rFonts w:hint="eastAsia"/>
        </w:rPr>
        <w:t>：根据“无预算不采购”的原则，按《中华人民共和国政府采购法》第六条规定：政府采购应当严格按照批准的预算执行。未纳入政府采购预算的项目，原则上当年不得实施政府采购，无法开展采购流程。</w:t>
      </w:r>
    </w:p>
    <w:p w14:paraId="64D45337">
      <w:pPr>
        <w:pStyle w:val="3"/>
        <w:bidi w:val="0"/>
      </w:pPr>
      <w:bookmarkStart w:id="27" w:name="_Toc1257"/>
      <w:r>
        <w:rPr>
          <w:rFonts w:hint="eastAsia"/>
        </w:rPr>
        <w:t>问题</w:t>
      </w:r>
      <w:r>
        <w:t>3：项目的采购预算如何确定？</w:t>
      </w:r>
      <w:bookmarkEnd w:id="27"/>
    </w:p>
    <w:p w14:paraId="6E133AC0">
      <w:pPr>
        <w:bidi w:val="0"/>
        <w:rPr>
          <w:rFonts w:ascii="仿宋" w:hAnsi="仿宋" w:eastAsia="仿宋"/>
          <w:b/>
          <w:bCs/>
          <w:sz w:val="28"/>
          <w:szCs w:val="28"/>
        </w:rPr>
      </w:pPr>
      <w:r>
        <w:rPr>
          <w:rFonts w:hint="eastAsia"/>
          <w:b/>
          <w:bCs/>
        </w:rPr>
        <w:t>答复</w:t>
      </w:r>
      <w:r>
        <w:rPr>
          <w:rFonts w:hint="eastAsia"/>
        </w:rPr>
        <w:t>：二级单位编制项目采购预算要以采购需求为导向，根据需求确定项目采购预算金额，做好市场调研和前期准备工作。项目负责人可以在确定采购需求前，通过咨询、论证、问卷调查（邀请供应商报价）等方式对三家或以上供应商开展需求调查。根据报价区间值，并结合项目经费预算和项目需求，确定项目采购预算金额。采购预算金额不能高于所询价格的最高报价</w:t>
      </w:r>
      <w:r>
        <w:rPr>
          <w:rFonts w:hint="eastAsia"/>
          <w:lang w:eastAsia="zh-CN"/>
        </w:rPr>
        <w:t>。</w:t>
      </w:r>
    </w:p>
    <w:p w14:paraId="72C1BFD3">
      <w:pPr>
        <w:pStyle w:val="3"/>
        <w:bidi w:val="0"/>
      </w:pPr>
      <w:bookmarkStart w:id="28" w:name="_Toc23338"/>
      <w:r>
        <w:rPr>
          <w:rFonts w:hint="eastAsia"/>
        </w:rPr>
        <w:t>问题</w:t>
      </w:r>
      <w:r>
        <w:t>4：什么情形可以追加采购预算？</w:t>
      </w:r>
      <w:bookmarkEnd w:id="28"/>
    </w:p>
    <w:p w14:paraId="0DE8E709">
      <w:pPr>
        <w:bidi w:val="0"/>
      </w:pPr>
      <w:r>
        <w:rPr>
          <w:rFonts w:hint="eastAsia"/>
          <w:b/>
          <w:bCs/>
        </w:rPr>
        <w:t>答复</w:t>
      </w:r>
      <w:r>
        <w:rPr>
          <w:rFonts w:hint="eastAsia"/>
        </w:rPr>
        <w:t>：上一年度未申报采购预算，因特殊情况确需进行采购的项目，项目需经相关程序进行采购立项后，经审批可进行采购预算调整。采购预算追加或调整金额达到政府采购限额标准的，需归集后向省教育厅申请，获得省教育厅审批同意后，再报省财政厅进行调整。未编制年度采购预算且未申请追加政府采购预算的项目不得组织政府采购活动。</w:t>
      </w:r>
    </w:p>
    <w:p w14:paraId="00E8C79E">
      <w:pPr>
        <w:bidi w:val="0"/>
      </w:pPr>
      <w:r>
        <w:rPr>
          <w:rFonts w:hint="eastAsia"/>
        </w:rPr>
        <w:t>具备以下情形之一的，可以申请采购预算追加或调整：1.影响师生教学、科研正常开展的必要采购；2.影响师生工作、学习、生活正常进行的采购；3.学校研究的重要项目及特殊需求的采购；4.上级决策部署的重要项目的采购。</w:t>
      </w:r>
    </w:p>
    <w:p w14:paraId="7F3E1B85">
      <w:pPr>
        <w:pStyle w:val="2"/>
        <w:bidi w:val="0"/>
      </w:pPr>
      <w:bookmarkStart w:id="29" w:name="_Toc14415"/>
      <w:r>
        <w:rPr>
          <w:rFonts w:hint="eastAsia"/>
        </w:rPr>
        <w:t>·合同签订、履约验收及档案管理篇</w:t>
      </w:r>
      <w:bookmarkEnd w:id="29"/>
    </w:p>
    <w:p w14:paraId="0CB2ABEA">
      <w:pPr>
        <w:pStyle w:val="3"/>
        <w:bidi w:val="0"/>
      </w:pPr>
      <w:bookmarkStart w:id="30" w:name="_Toc2457"/>
      <w:r>
        <w:rPr>
          <w:rFonts w:hint="eastAsia"/>
        </w:rPr>
        <w:t>问题</w:t>
      </w:r>
      <w:r>
        <w:t>1：中标结果公示需要多久?</w:t>
      </w:r>
      <w:bookmarkEnd w:id="30"/>
    </w:p>
    <w:p w14:paraId="3D79E761">
      <w:pPr>
        <w:bidi w:val="0"/>
      </w:pPr>
      <w:r>
        <w:rPr>
          <w:rFonts w:hint="eastAsia"/>
          <w:b/>
          <w:bCs/>
        </w:rPr>
        <w:t>答复</w:t>
      </w:r>
      <w:r>
        <w:rPr>
          <w:rFonts w:hint="eastAsia"/>
        </w:rPr>
        <w:t>：1个工作日。</w:t>
      </w:r>
    </w:p>
    <w:p w14:paraId="08AE56FF">
      <w:pPr>
        <w:spacing w:line="360" w:lineRule="exact"/>
        <w:rPr>
          <w:rFonts w:ascii="仿宋" w:hAnsi="仿宋" w:eastAsia="仿宋"/>
          <w:sz w:val="28"/>
          <w:szCs w:val="28"/>
        </w:rPr>
      </w:pPr>
    </w:p>
    <w:p w14:paraId="234C378D">
      <w:pPr>
        <w:pStyle w:val="3"/>
        <w:bidi w:val="0"/>
      </w:pPr>
      <w:bookmarkStart w:id="31" w:name="_Toc572"/>
      <w:r>
        <w:rPr>
          <w:rFonts w:hint="eastAsia"/>
        </w:rPr>
        <w:t>问题</w:t>
      </w:r>
      <w:r>
        <w:t>2：</w:t>
      </w:r>
      <w:r>
        <w:rPr>
          <w:rFonts w:hint="eastAsia"/>
        </w:rPr>
        <w:t>合同签订需要注意什么？</w:t>
      </w:r>
      <w:bookmarkEnd w:id="31"/>
    </w:p>
    <w:p w14:paraId="0189AA20">
      <w:pPr>
        <w:bidi w:val="0"/>
        <w:rPr>
          <w:rFonts w:ascii="仿宋" w:hAnsi="仿宋" w:eastAsia="仿宋"/>
          <w:sz w:val="28"/>
          <w:szCs w:val="28"/>
        </w:rPr>
      </w:pPr>
      <w:r>
        <w:rPr>
          <w:rFonts w:hint="eastAsia"/>
          <w:b/>
          <w:bCs/>
        </w:rPr>
        <w:t>答复</w:t>
      </w:r>
      <w:r>
        <w:rPr>
          <w:rFonts w:hint="eastAsia"/>
        </w:rPr>
        <w:t>：1.中标成交通知书发出</w:t>
      </w:r>
      <w:r>
        <w:t>30日内</w:t>
      </w:r>
      <w:r>
        <w:rPr>
          <w:rFonts w:hint="eastAsia"/>
        </w:rPr>
        <w:t>必须</w:t>
      </w:r>
      <w:r>
        <w:t>签订合同</w:t>
      </w:r>
      <w:r>
        <w:rPr>
          <w:rFonts w:hint="eastAsia"/>
        </w:rPr>
        <w:t>；2.不得对招标文件和投标文件作实质性修改；3.不得提出任何不合理的要求作为签订合同的条件；4.政府采购合同适用《民法典》；5.按合同约定及时支付合同款；6.按学校相关合同范本编制、审核合同，招标文件及投标文件是合同的一部分。</w:t>
      </w:r>
    </w:p>
    <w:p w14:paraId="195035F0">
      <w:pPr>
        <w:pStyle w:val="3"/>
        <w:bidi w:val="0"/>
      </w:pPr>
      <w:bookmarkStart w:id="32" w:name="_Toc7868"/>
      <w:r>
        <w:rPr>
          <w:rFonts w:hint="eastAsia"/>
        </w:rPr>
        <w:t>问题</w:t>
      </w:r>
      <w:r>
        <w:t>3：如何签订追加标的</w:t>
      </w:r>
      <w:r>
        <w:rPr>
          <w:rFonts w:hint="eastAsia"/>
        </w:rPr>
        <w:t>的补充合同？</w:t>
      </w:r>
      <w:bookmarkEnd w:id="32"/>
    </w:p>
    <w:p w14:paraId="5B524614">
      <w:pPr>
        <w:bidi w:val="0"/>
        <w:rPr>
          <w:rFonts w:ascii="仿宋" w:hAnsi="仿宋" w:eastAsia="仿宋"/>
          <w:sz w:val="28"/>
          <w:szCs w:val="28"/>
        </w:rPr>
      </w:pPr>
      <w:r>
        <w:rPr>
          <w:rFonts w:hint="eastAsia"/>
          <w:b/>
          <w:bCs/>
        </w:rPr>
        <w:t>答复</w:t>
      </w:r>
      <w:r>
        <w:rPr>
          <w:rFonts w:hint="eastAsia"/>
        </w:rPr>
        <w:t>：政府采购合同履行中，采购人需追加与合同标的相同的货物、工程或者服务的，在不改变合同其他条款的前提下，可以与供应商协商签订补充合同，但所有补充合同的采购金额不得超过原合同采购金额的百分之十。</w:t>
      </w:r>
    </w:p>
    <w:p w14:paraId="7E575F0A">
      <w:pPr>
        <w:pStyle w:val="3"/>
        <w:bidi w:val="0"/>
      </w:pPr>
      <w:bookmarkStart w:id="33" w:name="_Toc4656"/>
      <w:r>
        <w:rPr>
          <w:rFonts w:hint="eastAsia"/>
        </w:rPr>
        <w:t>问题</w:t>
      </w:r>
      <w:r>
        <w:t>4：档案管理注意事项？</w:t>
      </w:r>
      <w:bookmarkEnd w:id="33"/>
    </w:p>
    <w:p w14:paraId="78E60F32">
      <w:pPr>
        <w:bidi w:val="0"/>
      </w:pPr>
      <w:r>
        <w:rPr>
          <w:rFonts w:hint="eastAsia"/>
          <w:b/>
          <w:bCs/>
        </w:rPr>
        <w:t>答复</w:t>
      </w:r>
      <w:r>
        <w:rPr>
          <w:rFonts w:hint="eastAsia"/>
        </w:rPr>
        <w:t>：</w:t>
      </w:r>
      <w:r>
        <w:t>每个采购项目从需求论证到验收付款的全套文件，应当在项目完成后规定时间内完成归档。归档范围包括需求方案及论证材料、采购文件、评审报告、中标通知书、合同文本、履约记录、验收报告、付款凭证等。档案保管期限按相关规定执行。</w:t>
      </w:r>
    </w:p>
    <w:p w14:paraId="63770B1B">
      <w:pPr>
        <w:pStyle w:val="2"/>
        <w:bidi w:val="0"/>
      </w:pPr>
      <w:bookmarkStart w:id="34" w:name="_Toc2152"/>
      <w:r>
        <w:rPr>
          <w:rFonts w:hint="eastAsia"/>
        </w:rPr>
        <w:t>·校采资系统篇</w:t>
      </w:r>
      <w:bookmarkEnd w:id="34"/>
    </w:p>
    <w:p w14:paraId="68F1F355">
      <w:pPr>
        <w:pStyle w:val="3"/>
        <w:bidi w:val="0"/>
      </w:pPr>
      <w:bookmarkStart w:id="35" w:name="_Toc29109"/>
      <w:r>
        <w:rPr>
          <w:rFonts w:hint="eastAsia"/>
        </w:rPr>
        <w:t>问题</w:t>
      </w:r>
      <w:r>
        <w:t>1</w:t>
      </w:r>
      <w:r>
        <w:rPr>
          <w:rFonts w:hint="eastAsia"/>
        </w:rPr>
        <w:t>：如何访问校采资系统？</w:t>
      </w:r>
      <w:bookmarkEnd w:id="35"/>
    </w:p>
    <w:p w14:paraId="76932C91">
      <w:pPr>
        <w:rPr>
          <w:rFonts w:ascii="仿宋" w:hAnsi="仿宋" w:eastAsia="仿宋"/>
          <w:b/>
          <w:bCs/>
          <w:color w:val="FF0000"/>
          <w:sz w:val="28"/>
          <w:szCs w:val="28"/>
        </w:rPr>
      </w:pPr>
      <w:r>
        <w:rPr>
          <w:rFonts w:ascii="仿宋" w:hAnsi="仿宋" w:eastAsia="仿宋"/>
          <w:b/>
          <w:bCs/>
          <w:color w:val="FF0000"/>
          <w:sz w:val="28"/>
          <w:szCs w:val="28"/>
        </w:rPr>
        <w:drawing>
          <wp:inline distT="0" distB="0" distL="0" distR="0">
            <wp:extent cx="6012180" cy="634365"/>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12180" cy="634365"/>
                    </a:xfrm>
                    <a:prstGeom prst="rect">
                      <a:avLst/>
                    </a:prstGeom>
                    <a:noFill/>
                    <a:ln>
                      <a:noFill/>
                    </a:ln>
                  </pic:spPr>
                </pic:pic>
              </a:graphicData>
            </a:graphic>
          </wp:inline>
        </w:drawing>
      </w:r>
    </w:p>
    <w:p w14:paraId="313E40D6">
      <w:pPr>
        <w:ind w:firstLine="843" w:firstLineChars="300"/>
        <w:rPr>
          <w:rFonts w:ascii="黑体" w:hAnsi="黑体" w:eastAsia="黑体"/>
          <w:b/>
          <w:bCs/>
          <w:color w:val="000000" w:themeColor="text1"/>
          <w:sz w:val="28"/>
          <w:szCs w:val="28"/>
          <w14:textFill>
            <w14:solidFill>
              <w14:schemeClr w14:val="tx1"/>
            </w14:solidFill>
          </w14:textFill>
        </w:rPr>
      </w:pPr>
      <w:r>
        <w:rPr>
          <w:rFonts w:hint="eastAsia" w:ascii="黑体" w:hAnsi="黑体" w:eastAsia="黑体"/>
          <w:b/>
          <w:bCs/>
          <w:color w:val="002060"/>
          <w:sz w:val="28"/>
          <w:szCs w:val="28"/>
        </w:rPr>
        <w:t>方式1：</w:t>
      </w:r>
      <w:r>
        <w:fldChar w:fldCharType="begin"/>
      </w:r>
      <w:r>
        <w:instrText xml:space="preserve"> HYPERLINK "http://www.fjut.edu.cn" </w:instrText>
      </w:r>
      <w:r>
        <w:fldChar w:fldCharType="separate"/>
      </w:r>
      <w:r>
        <w:rPr>
          <w:rStyle w:val="16"/>
          <w:rFonts w:hint="eastAsia" w:ascii="黑体" w:hAnsi="黑体" w:eastAsia="黑体"/>
          <w:b/>
          <w:bCs/>
          <w:color w:val="000000" w:themeColor="text1"/>
          <w:sz w:val="28"/>
          <w:szCs w:val="28"/>
          <w:u w:val="none"/>
          <w14:textFill>
            <w14:solidFill>
              <w14:schemeClr w14:val="tx1"/>
            </w14:solidFill>
          </w14:textFill>
        </w:rPr>
        <w:t>h</w:t>
      </w:r>
      <w:r>
        <w:rPr>
          <w:rStyle w:val="16"/>
          <w:rFonts w:ascii="黑体" w:hAnsi="黑体" w:eastAsia="黑体"/>
          <w:b/>
          <w:bCs/>
          <w:color w:val="000000" w:themeColor="text1"/>
          <w:sz w:val="28"/>
          <w:szCs w:val="28"/>
          <w:u w:val="none"/>
          <w14:textFill>
            <w14:solidFill>
              <w14:schemeClr w14:val="tx1"/>
            </w14:solidFill>
          </w14:textFill>
        </w:rPr>
        <w:t>ttp://www.fjut.edu.cn</w:t>
      </w:r>
      <w:r>
        <w:rPr>
          <w:rStyle w:val="16"/>
          <w:rFonts w:ascii="黑体" w:hAnsi="黑体" w:eastAsia="黑体"/>
          <w:b/>
          <w:bCs/>
          <w:color w:val="000000" w:themeColor="text1"/>
          <w:sz w:val="28"/>
          <w:szCs w:val="28"/>
          <w:u w:val="none"/>
          <w14:textFill>
            <w14:solidFill>
              <w14:schemeClr w14:val="tx1"/>
            </w14:solidFill>
          </w14:textFill>
        </w:rPr>
        <w:fldChar w:fldCharType="end"/>
      </w:r>
    </w:p>
    <w:p w14:paraId="31E9758F">
      <w:pPr>
        <w:jc w:val="center"/>
        <w:rPr>
          <w:rFonts w:ascii="仿宋" w:hAnsi="仿宋" w:eastAsia="仿宋"/>
          <w:b/>
          <w:bCs/>
          <w:color w:val="FF0000"/>
          <w:sz w:val="28"/>
          <w:szCs w:val="28"/>
        </w:rPr>
      </w:pPr>
      <w:r>
        <w:rPr>
          <w:rFonts w:ascii="Times New Roman" w:hAnsi="Times New Roman" w:eastAsia="Times New Roman" w:cs="Times New Roman"/>
          <w:snapToGrid w:val="0"/>
          <w:color w:val="000000"/>
          <w:w w:val="0"/>
          <w:kern w:val="0"/>
          <w:sz w:val="0"/>
          <w:szCs w:val="0"/>
          <w:u w:color="000000"/>
          <w:shd w:val="clear" w:color="000000" w:fill="000000"/>
          <w:lang w:val="zh-CN" w:eastAsia="zh-CN" w:bidi="zh-CN"/>
        </w:rPr>
        <w:drawing>
          <wp:inline distT="0" distB="0" distL="0" distR="0">
            <wp:extent cx="1612900" cy="1072515"/>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649911" cy="1097519"/>
                    </a:xfrm>
                    <a:prstGeom prst="rect">
                      <a:avLst/>
                    </a:prstGeom>
                    <a:noFill/>
                    <a:ln>
                      <a:noFill/>
                    </a:ln>
                  </pic:spPr>
                </pic:pic>
              </a:graphicData>
            </a:graphic>
          </wp:inline>
        </w:drawing>
      </w:r>
      <w:r>
        <w:rPr>
          <w:rFonts w:ascii="仿宋" w:hAnsi="仿宋" w:eastAsia="仿宋"/>
          <w:b/>
          <w:bCs/>
          <w:color w:val="FF0000"/>
          <w:sz w:val="28"/>
          <w:szCs w:val="28"/>
        </w:rPr>
        <w:drawing>
          <wp:inline distT="0" distB="0" distL="0" distR="0">
            <wp:extent cx="1549400" cy="988695"/>
            <wp:effectExtent l="0" t="0" r="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576555" cy="1006270"/>
                    </a:xfrm>
                    <a:prstGeom prst="rect">
                      <a:avLst/>
                    </a:prstGeom>
                    <a:noFill/>
                    <a:ln>
                      <a:noFill/>
                    </a:ln>
                  </pic:spPr>
                </pic:pic>
              </a:graphicData>
            </a:graphic>
          </wp:inline>
        </w:drawing>
      </w:r>
    </w:p>
    <w:p w14:paraId="40231D04">
      <w:pPr>
        <w:rPr>
          <w:rFonts w:ascii="仿宋" w:hAnsi="仿宋" w:eastAsia="仿宋"/>
          <w:b/>
          <w:bCs/>
          <w:color w:val="FF0000"/>
          <w:sz w:val="28"/>
          <w:szCs w:val="28"/>
        </w:rPr>
      </w:pPr>
      <w:r>
        <w:rPr>
          <w:rFonts w:ascii="仿宋" w:hAnsi="仿宋" w:eastAsia="仿宋"/>
          <w:b/>
          <w:bCs/>
          <w:color w:val="FF0000"/>
          <w:sz w:val="28"/>
          <w:szCs w:val="28"/>
        </w:rPr>
        <w:drawing>
          <wp:inline distT="0" distB="0" distL="0" distR="0">
            <wp:extent cx="6012180" cy="18992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012180" cy="1899285"/>
                    </a:xfrm>
                    <a:prstGeom prst="rect">
                      <a:avLst/>
                    </a:prstGeom>
                    <a:noFill/>
                    <a:ln>
                      <a:noFill/>
                    </a:ln>
                  </pic:spPr>
                </pic:pic>
              </a:graphicData>
            </a:graphic>
          </wp:inline>
        </w:drawing>
      </w:r>
    </w:p>
    <w:p w14:paraId="7C578DF3">
      <w:pPr>
        <w:pStyle w:val="2"/>
        <w:bidi w:val="0"/>
      </w:pPr>
      <w:bookmarkStart w:id="36" w:name="_Toc22752"/>
      <w:bookmarkStart w:id="37" w:name="OLE_LINK1"/>
      <w:r>
        <w:rPr>
          <w:rFonts w:hint="eastAsia"/>
        </w:rPr>
        <w:t>·风险防控篇</w:t>
      </w:r>
      <w:bookmarkEnd w:id="36"/>
    </w:p>
    <w:bookmarkEnd w:id="37"/>
    <w:p w14:paraId="45ED9132">
      <w:pPr>
        <w:pStyle w:val="3"/>
        <w:bidi w:val="0"/>
      </w:pPr>
      <w:bookmarkStart w:id="38" w:name="_Toc25947"/>
      <w:r>
        <w:rPr>
          <w:rFonts w:hint="eastAsia"/>
        </w:rPr>
        <w:t>问题</w:t>
      </w:r>
      <w:r>
        <w:t>1：什么情况属于化整为零规避政府采购？</w:t>
      </w:r>
      <w:bookmarkEnd w:id="38"/>
    </w:p>
    <w:p w14:paraId="27747D6C">
      <w:pPr>
        <w:bidi w:val="0"/>
        <w:ind w:firstLine="880"/>
        <w:rPr>
          <w:rFonts w:ascii="仿宋" w:hAnsi="仿宋" w:eastAsia="仿宋"/>
          <w:b w:val="0"/>
          <w:bCs w:val="0"/>
          <w:sz w:val="28"/>
          <w:szCs w:val="28"/>
        </w:rPr>
      </w:pPr>
      <w:r>
        <w:rPr>
          <w:rFonts w:hint="eastAsia"/>
          <w:b/>
          <w:bCs/>
        </w:rPr>
        <w:t>答复</w:t>
      </w:r>
      <w:r>
        <w:rPr>
          <w:rFonts w:hint="eastAsia"/>
          <w:b w:val="0"/>
          <w:bCs w:val="0"/>
        </w:rPr>
        <w:t>：1.是指在一个财政年度内，采购人将一个预算项目下的同一品目或者类别的货物、工程、服务项目自行采购，累计资金数额超过政府采购限额标准的行为。2.省级货物/服务/工程项目分散采购限额标准为100万元。3.不得将集中采购目录项目所列金额标准以上的一个预算项目下的同一品目或者类别的货物、服务化整为零规避集中采购。</w:t>
      </w:r>
    </w:p>
    <w:p w14:paraId="7C3093F1">
      <w:pPr>
        <w:pStyle w:val="3"/>
        <w:bidi w:val="0"/>
      </w:pPr>
      <w:bookmarkStart w:id="39" w:name="_Toc14435"/>
      <w:r>
        <w:rPr>
          <w:rFonts w:hint="eastAsia"/>
        </w:rPr>
        <w:t>问题</w:t>
      </w:r>
      <w:r>
        <w:t>2：如何建立“化整为零”的防控机制？</w:t>
      </w:r>
      <w:bookmarkEnd w:id="39"/>
    </w:p>
    <w:p w14:paraId="6EA8765D">
      <w:pPr>
        <w:bidi w:val="0"/>
      </w:pPr>
      <w:r>
        <w:rPr>
          <w:rFonts w:hint="eastAsia"/>
          <w:b/>
          <w:bCs/>
        </w:rPr>
        <w:t>答复</w:t>
      </w:r>
      <w:r>
        <w:rPr>
          <w:rFonts w:hint="eastAsia"/>
        </w:rPr>
        <w:t>：同一采购项目在年度内不得分拆为多个合同规避公开招标，比如同品目、同类型的采购在年度内累计达到限额标准的，二级单位需主动选择公开招标程序。</w:t>
      </w:r>
    </w:p>
    <w:p w14:paraId="3E59BA59">
      <w:pPr>
        <w:pStyle w:val="3"/>
        <w:bidi w:val="0"/>
      </w:pPr>
      <w:bookmarkStart w:id="40" w:name="_Toc23183"/>
      <w:r>
        <w:rPr>
          <w:rFonts w:hint="eastAsia"/>
        </w:rPr>
        <w:t>问题</w:t>
      </w:r>
      <w:r>
        <w:t>3：什么情况属于化整为零规避公开招标？</w:t>
      </w:r>
      <w:bookmarkEnd w:id="40"/>
    </w:p>
    <w:p w14:paraId="4EE38A83">
      <w:pPr>
        <w:bidi w:val="0"/>
        <w:rPr>
          <w:rFonts w:ascii="仿宋" w:hAnsi="仿宋" w:eastAsia="仿宋"/>
          <w:b/>
          <w:bCs/>
          <w:sz w:val="28"/>
          <w:szCs w:val="28"/>
        </w:rPr>
      </w:pPr>
      <w:r>
        <w:rPr>
          <w:rFonts w:hint="eastAsia"/>
          <w:b/>
          <w:bCs/>
        </w:rPr>
        <w:t>答复</w:t>
      </w:r>
      <w:r>
        <w:rPr>
          <w:rFonts w:hint="eastAsia"/>
        </w:rPr>
        <w:t>：是指在一个财政年度内，采购人将一个预算项目下的同一品目或者类别的货物、服务采用公开招标以外的方式多次采购，累计资金数额超过公开招标数额标准的行为，但项目预算调整、框架协议采购或者经批准采用公开招标以外方式采购的除外。</w:t>
      </w:r>
    </w:p>
    <w:p w14:paraId="0A459138">
      <w:pPr>
        <w:pStyle w:val="3"/>
        <w:bidi w:val="0"/>
      </w:pPr>
      <w:bookmarkStart w:id="41" w:name="_Toc21554"/>
      <w:r>
        <w:rPr>
          <w:rFonts w:hint="eastAsia"/>
        </w:rPr>
        <w:t>问题</w:t>
      </w:r>
      <w:r>
        <w:t>4：二级单位采购环节需要注意哪些事项？</w:t>
      </w:r>
      <w:bookmarkEnd w:id="41"/>
    </w:p>
    <w:p w14:paraId="374005F8">
      <w:pPr>
        <w:bidi w:val="0"/>
        <w:rPr>
          <w:rFonts w:ascii="仿宋" w:hAnsi="仿宋" w:eastAsia="仿宋"/>
          <w:b/>
          <w:bCs/>
          <w:color w:val="FF0000"/>
          <w:sz w:val="28"/>
          <w:szCs w:val="28"/>
        </w:rPr>
      </w:pPr>
      <w:r>
        <w:rPr>
          <w:rFonts w:hint="eastAsia"/>
          <w:b/>
          <w:bCs/>
        </w:rPr>
        <w:t>答复</w:t>
      </w:r>
      <w:r>
        <w:rPr>
          <w:rFonts w:hint="eastAsia"/>
        </w:rPr>
        <w:t>：1.加强采购需求管理。缺乏详细的需求分析和规划，可能引发投标人质疑，降低采购效率，且可能导致采购的物品规格、数量与实际使用场景不匹配，无法完全满足教学、科研等实际使用需求。2.加强前期询价环节的把关。若在询价阶段没有进行充分的市场调研，容易导致询价虚高，增加采购成本。3.采购程序不足。采购项目中标后，在实施前，若口头与中标公司协商项目终止事宜，未与其签订终止协议，存在一定法律风险。4.加强采购档案管理。校内巡察中发现，各二级单位的采购档案存在项目过程档案部分缺失的情形，存在所有采购项目档案未安排专人负责管理的情形。5.二级单位采购工作小组名单未及时提交报备，采购管理员变动频繁。6.二级单位采购工作小组职责未按文件规定予以落实到位。</w:t>
      </w:r>
    </w:p>
    <w:p w14:paraId="2E31BDDB">
      <w:pPr>
        <w:pStyle w:val="3"/>
        <w:bidi w:val="0"/>
      </w:pPr>
      <w:bookmarkStart w:id="42" w:name="_Toc28938"/>
      <w:r>
        <w:rPr>
          <w:rFonts w:hint="eastAsia"/>
        </w:rPr>
        <w:t>问题5：二级单位作为采购的主体，主体责任是什么？</w:t>
      </w:r>
      <w:bookmarkEnd w:id="42"/>
    </w:p>
    <w:p w14:paraId="41C2C934">
      <w:pPr>
        <w:bidi w:val="0"/>
      </w:pPr>
      <w:r>
        <w:rPr>
          <w:rFonts w:hint="eastAsia"/>
          <w:b/>
          <w:bCs/>
        </w:rPr>
        <w:t>答复</w:t>
      </w:r>
      <w:r>
        <w:rPr>
          <w:rFonts w:hint="eastAsia"/>
        </w:rPr>
        <w:t>：在预算编制、采购需求制定、采购文件编制、意向公开、计划申报、采购结果确认、合同签订、履约验收、内控建设、政策落实、信息公开等方面均应承担主体责任。</w:t>
      </w:r>
    </w:p>
    <w:p w14:paraId="68AD9DD0">
      <w:pPr>
        <w:pStyle w:val="3"/>
        <w:bidi w:val="0"/>
      </w:pPr>
      <w:bookmarkStart w:id="43" w:name="_Toc16043"/>
      <w:r>
        <w:rPr>
          <w:rFonts w:hint="eastAsia"/>
        </w:rPr>
        <w:t>问题6：各采购管理员的职责是什么？</w:t>
      </w:r>
      <w:bookmarkEnd w:id="43"/>
    </w:p>
    <w:p w14:paraId="678C312B">
      <w:pPr>
        <w:bidi w:val="0"/>
      </w:pPr>
      <w:r>
        <w:rPr>
          <w:rFonts w:hint="eastAsia"/>
          <w:b/>
          <w:bCs/>
        </w:rPr>
        <w:t>答复</w:t>
      </w:r>
      <w:r>
        <w:rPr>
          <w:rFonts w:hint="eastAsia"/>
        </w:rPr>
        <w:t>：采购管理员负责办理本单位采购预算与计划归集、申报；负责二级单位采购项目登记管理；负责所有二级单位采购项目采购过程相关文件资料整理归档；负责福建省政府采购网上公开信息系统操作等。</w:t>
      </w:r>
    </w:p>
    <w:p w14:paraId="2AE6D404">
      <w:pPr>
        <w:pStyle w:val="2"/>
        <w:bidi w:val="0"/>
      </w:pPr>
      <w:bookmarkStart w:id="44" w:name="_Toc25848"/>
      <w:r>
        <w:rPr>
          <w:rFonts w:hint="eastAsia"/>
        </w:rPr>
        <w:t>·业务咨询与联系方式</w:t>
      </w:r>
      <w:bookmarkEnd w:id="44"/>
    </w:p>
    <w:p w14:paraId="746059B1">
      <w:pPr>
        <w:bidi w:val="0"/>
        <w:rPr>
          <w:rFonts w:hint="eastAsia"/>
          <w:lang w:eastAsia="zh-CN"/>
        </w:rPr>
      </w:pPr>
      <w:r>
        <w:rPr>
          <w:rFonts w:hint="eastAsia"/>
        </w:rPr>
        <w:t>业务咨询地址：行政楼十一层资产管理处</w:t>
      </w:r>
      <w:r>
        <w:rPr>
          <w:rFonts w:hint="eastAsia"/>
          <w:lang w:eastAsia="zh-CN"/>
        </w:rPr>
        <w:t>（</w:t>
      </w:r>
      <w:r>
        <w:rPr>
          <w:rFonts w:hint="eastAsia"/>
          <w:lang w:val="en-US" w:eastAsia="zh-CN"/>
        </w:rPr>
        <w:t>1105室</w:t>
      </w:r>
      <w:r>
        <w:rPr>
          <w:rFonts w:hint="eastAsia"/>
          <w:lang w:eastAsia="zh-CN"/>
        </w:rPr>
        <w:t>）</w:t>
      </w:r>
    </w:p>
    <w:p w14:paraId="12540955">
      <w:pPr>
        <w:bidi w:val="0"/>
      </w:pPr>
      <w:r>
        <w:rPr>
          <w:rFonts w:hint="eastAsia"/>
        </w:rPr>
        <w:t>咨询电话：招标采购中心2</w:t>
      </w:r>
      <w:r>
        <w:t>2861884</w:t>
      </w:r>
    </w:p>
    <w:p w14:paraId="2F5DDD01">
      <w:pPr>
        <w:bidi w:val="0"/>
      </w:pPr>
      <w:r>
        <w:t xml:space="preserve">   </w:t>
      </w:r>
      <w:r>
        <w:rPr>
          <w:rFonts w:hint="eastAsia"/>
          <w:lang w:val="en-US" w:eastAsia="zh-CN"/>
        </w:rPr>
        <w:t xml:space="preserve">       </w:t>
      </w:r>
      <w:r>
        <w:rPr>
          <w:rFonts w:hint="eastAsia"/>
        </w:rPr>
        <w:t>招标采购管理科2</w:t>
      </w:r>
      <w:r>
        <w:t>2863048</w:t>
      </w:r>
    </w:p>
    <w:p w14:paraId="395647D8">
      <w:pPr>
        <w:bidi w:val="0"/>
        <w:rPr>
          <w:rFonts w:hint="default"/>
          <w:lang w:val="en-US" w:eastAsia="zh-CN"/>
        </w:rPr>
      </w:pPr>
      <w:r>
        <w:rPr>
          <w:rFonts w:hint="eastAsia"/>
        </w:rPr>
        <w:t>温馨提示：本指引为常态化业务指导，未尽事宜以学校正式制度、上级主管部门最新文件为准。</w:t>
      </w:r>
    </w:p>
    <w:sectPr>
      <w:footerReference r:id="rId8" w:type="default"/>
      <w:pgSz w:w="11906" w:h="16838"/>
      <w:pgMar w:top="1440" w:right="1134" w:bottom="1191" w:left="1304"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0523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E116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B80EB">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2883"/>
      <w:docPartObj>
        <w:docPartGallery w:val="autotext"/>
      </w:docPartObj>
    </w:sdtPr>
    <w:sdtContent>
      <w:p w14:paraId="01A0A558">
        <w:pPr>
          <w:pStyle w:val="7"/>
          <w:jc w:val="center"/>
        </w:pPr>
        <w:r>
          <w:fldChar w:fldCharType="begin"/>
        </w:r>
        <w:r>
          <w:instrText xml:space="preserve">PAGE   \* MERGEFORMAT</w:instrText>
        </w:r>
        <w:r>
          <w:fldChar w:fldCharType="separate"/>
        </w:r>
        <w:r>
          <w:rPr>
            <w:lang w:val="zh-CN"/>
          </w:rPr>
          <w:t>2</w:t>
        </w:r>
        <w:r>
          <w:fldChar w:fldCharType="end"/>
        </w:r>
      </w:p>
    </w:sdtContent>
  </w:sdt>
  <w:p w14:paraId="2CF37519">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A1"/>
    <w:rsid w:val="00006228"/>
    <w:rsid w:val="00024CAA"/>
    <w:rsid w:val="0003140E"/>
    <w:rsid w:val="00037D7C"/>
    <w:rsid w:val="00055524"/>
    <w:rsid w:val="00056DC1"/>
    <w:rsid w:val="0007680D"/>
    <w:rsid w:val="000845B5"/>
    <w:rsid w:val="000936C0"/>
    <w:rsid w:val="000A11F8"/>
    <w:rsid w:val="000F08FC"/>
    <w:rsid w:val="001537C1"/>
    <w:rsid w:val="00195B4A"/>
    <w:rsid w:val="001D2D97"/>
    <w:rsid w:val="001E2CC9"/>
    <w:rsid w:val="001F6B77"/>
    <w:rsid w:val="00205D3A"/>
    <w:rsid w:val="00205DFF"/>
    <w:rsid w:val="0022623F"/>
    <w:rsid w:val="0023020A"/>
    <w:rsid w:val="002415F4"/>
    <w:rsid w:val="00251C51"/>
    <w:rsid w:val="00276EF2"/>
    <w:rsid w:val="0028307B"/>
    <w:rsid w:val="002D44A9"/>
    <w:rsid w:val="002D58DE"/>
    <w:rsid w:val="00310314"/>
    <w:rsid w:val="0031176B"/>
    <w:rsid w:val="00335D4A"/>
    <w:rsid w:val="003667DC"/>
    <w:rsid w:val="003966F4"/>
    <w:rsid w:val="00396EFA"/>
    <w:rsid w:val="003C0493"/>
    <w:rsid w:val="003D0FE8"/>
    <w:rsid w:val="003F32E2"/>
    <w:rsid w:val="003F3925"/>
    <w:rsid w:val="00425B29"/>
    <w:rsid w:val="004744D2"/>
    <w:rsid w:val="004A6B5E"/>
    <w:rsid w:val="004E7067"/>
    <w:rsid w:val="00515E2C"/>
    <w:rsid w:val="00567A1E"/>
    <w:rsid w:val="00574409"/>
    <w:rsid w:val="005B340B"/>
    <w:rsid w:val="005F6F7D"/>
    <w:rsid w:val="005F70BB"/>
    <w:rsid w:val="006310B7"/>
    <w:rsid w:val="00635892"/>
    <w:rsid w:val="00637AE1"/>
    <w:rsid w:val="006759D7"/>
    <w:rsid w:val="006A16D1"/>
    <w:rsid w:val="006B1EFE"/>
    <w:rsid w:val="006D1956"/>
    <w:rsid w:val="006D2DF6"/>
    <w:rsid w:val="006D64B4"/>
    <w:rsid w:val="006D76B0"/>
    <w:rsid w:val="00714884"/>
    <w:rsid w:val="007351D7"/>
    <w:rsid w:val="00757C0F"/>
    <w:rsid w:val="00770C6B"/>
    <w:rsid w:val="007937E0"/>
    <w:rsid w:val="00805BC6"/>
    <w:rsid w:val="008066B0"/>
    <w:rsid w:val="008210B0"/>
    <w:rsid w:val="008319A1"/>
    <w:rsid w:val="008377FA"/>
    <w:rsid w:val="00861CEB"/>
    <w:rsid w:val="008A73E2"/>
    <w:rsid w:val="008B059B"/>
    <w:rsid w:val="008E5172"/>
    <w:rsid w:val="00916BE9"/>
    <w:rsid w:val="009335B1"/>
    <w:rsid w:val="009402EF"/>
    <w:rsid w:val="00942BC6"/>
    <w:rsid w:val="00947C66"/>
    <w:rsid w:val="009C62C3"/>
    <w:rsid w:val="009C76D0"/>
    <w:rsid w:val="009E401B"/>
    <w:rsid w:val="009E4A4F"/>
    <w:rsid w:val="00A139C5"/>
    <w:rsid w:val="00A40275"/>
    <w:rsid w:val="00A469EF"/>
    <w:rsid w:val="00A65ABC"/>
    <w:rsid w:val="00A70E38"/>
    <w:rsid w:val="00A72AB4"/>
    <w:rsid w:val="00A72DB6"/>
    <w:rsid w:val="00A773A7"/>
    <w:rsid w:val="00AA312A"/>
    <w:rsid w:val="00AC4D40"/>
    <w:rsid w:val="00AD278E"/>
    <w:rsid w:val="00AE63A2"/>
    <w:rsid w:val="00B12964"/>
    <w:rsid w:val="00B3240A"/>
    <w:rsid w:val="00B41A80"/>
    <w:rsid w:val="00BA47F9"/>
    <w:rsid w:val="00BD64C6"/>
    <w:rsid w:val="00C23E23"/>
    <w:rsid w:val="00C55B24"/>
    <w:rsid w:val="00C76F81"/>
    <w:rsid w:val="00C855D9"/>
    <w:rsid w:val="00CB2AA4"/>
    <w:rsid w:val="00CC26F6"/>
    <w:rsid w:val="00CE39F4"/>
    <w:rsid w:val="00CE5351"/>
    <w:rsid w:val="00D04D4A"/>
    <w:rsid w:val="00D65A1C"/>
    <w:rsid w:val="00D85C86"/>
    <w:rsid w:val="00D876AE"/>
    <w:rsid w:val="00D92F62"/>
    <w:rsid w:val="00DD2314"/>
    <w:rsid w:val="00DF2476"/>
    <w:rsid w:val="00E11B57"/>
    <w:rsid w:val="00E1216B"/>
    <w:rsid w:val="00E26E82"/>
    <w:rsid w:val="00E50BC1"/>
    <w:rsid w:val="00E52FE2"/>
    <w:rsid w:val="00E65471"/>
    <w:rsid w:val="00E655A1"/>
    <w:rsid w:val="00E66FCB"/>
    <w:rsid w:val="00E71470"/>
    <w:rsid w:val="00EA5D68"/>
    <w:rsid w:val="00EC2D9B"/>
    <w:rsid w:val="00F12A86"/>
    <w:rsid w:val="00F375CC"/>
    <w:rsid w:val="00F737BD"/>
    <w:rsid w:val="00FA4052"/>
    <w:rsid w:val="00FA5425"/>
    <w:rsid w:val="00FB6F42"/>
    <w:rsid w:val="00FC41A1"/>
    <w:rsid w:val="00FE175B"/>
    <w:rsid w:val="00FE2B98"/>
    <w:rsid w:val="022B421F"/>
    <w:rsid w:val="04376D64"/>
    <w:rsid w:val="058216BF"/>
    <w:rsid w:val="0B424F61"/>
    <w:rsid w:val="226B7F16"/>
    <w:rsid w:val="27F475AD"/>
    <w:rsid w:val="3C4E1B46"/>
    <w:rsid w:val="55CD3692"/>
    <w:rsid w:val="565E0EBF"/>
    <w:rsid w:val="63894210"/>
    <w:rsid w:val="74026F8D"/>
    <w:rsid w:val="75EE586E"/>
    <w:rsid w:val="7C3E618B"/>
    <w:rsid w:val="7CCD7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left"/>
    </w:pPr>
    <w:rPr>
      <w:rFonts w:eastAsia="仿宋" w:asciiTheme="minorAscii" w:hAnsiTheme="minorAscii" w:cstheme="minorBidi"/>
      <w:kern w:val="2"/>
      <w:sz w:val="32"/>
      <w:szCs w:val="22"/>
      <w:lang w:val="en-US" w:eastAsia="zh-CN" w:bidi="ar-SA"/>
    </w:rPr>
  </w:style>
  <w:style w:type="paragraph" w:styleId="2">
    <w:name w:val="heading 1"/>
    <w:basedOn w:val="1"/>
    <w:next w:val="1"/>
    <w:link w:val="23"/>
    <w:qFormat/>
    <w:uiPriority w:val="9"/>
    <w:pPr>
      <w:keepNext/>
      <w:keepLines/>
      <w:spacing w:before="340" w:beforeLines="0" w:beforeAutospacing="0" w:after="330" w:afterLines="0" w:afterAutospacing="0" w:line="576" w:lineRule="auto"/>
      <w:jc w:val="center"/>
      <w:outlineLvl w:val="0"/>
    </w:pPr>
    <w:rPr>
      <w:rFonts w:eastAsia="黑体"/>
      <w:b/>
      <w:kern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楷体"/>
      <w:b/>
      <w:color w:val="FF000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link w:val="20"/>
    <w:semiHidden/>
    <w:qFormat/>
    <w:uiPriority w:val="0"/>
    <w:rPr>
      <w:rFonts w:ascii="宋体" w:hAnsi="宋体" w:eastAsia="宋体" w:cs="宋体"/>
      <w:sz w:val="28"/>
      <w:szCs w:val="28"/>
    </w:rPr>
  </w:style>
  <w:style w:type="paragraph" w:styleId="6">
    <w:name w:val="Date"/>
    <w:basedOn w:val="1"/>
    <w:next w:val="1"/>
    <w:link w:val="21"/>
    <w:semiHidden/>
    <w:unhideWhenUsed/>
    <w:qFormat/>
    <w:uiPriority w:val="99"/>
    <w:pPr>
      <w:ind w:left="100" w:leftChars="2500"/>
    </w:pPr>
  </w:style>
  <w:style w:type="paragraph" w:styleId="7">
    <w:name w:val="footer"/>
    <w:basedOn w:val="1"/>
    <w:link w:val="19"/>
    <w:unhideWhenUsed/>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style>
  <w:style w:type="paragraph" w:styleId="10">
    <w:name w:val="toc 2"/>
    <w:basedOn w:val="1"/>
    <w:next w:val="1"/>
    <w:semiHidden/>
    <w:unhideWhenUsed/>
    <w:qFormat/>
    <w:uiPriority w:val="39"/>
    <w:pPr>
      <w:ind w:left="420" w:leftChars="200"/>
    </w:p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unhideWhenUsed/>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paragraph" w:styleId="17">
    <w:name w:val="List Paragraph"/>
    <w:basedOn w:val="1"/>
    <w:qFormat/>
    <w:uiPriority w:val="34"/>
    <w:pPr>
      <w:ind w:firstLine="420" w:firstLineChars="200"/>
    </w:pPr>
  </w:style>
  <w:style w:type="character" w:customStyle="1" w:styleId="18">
    <w:name w:val="页眉 字符"/>
    <w:basedOn w:val="14"/>
    <w:link w:val="8"/>
    <w:qFormat/>
    <w:uiPriority w:val="99"/>
    <w:rPr>
      <w:sz w:val="18"/>
      <w:szCs w:val="18"/>
    </w:rPr>
  </w:style>
  <w:style w:type="character" w:customStyle="1" w:styleId="19">
    <w:name w:val="页脚 字符"/>
    <w:basedOn w:val="14"/>
    <w:link w:val="7"/>
    <w:qFormat/>
    <w:uiPriority w:val="99"/>
    <w:rPr>
      <w:sz w:val="18"/>
      <w:szCs w:val="18"/>
    </w:rPr>
  </w:style>
  <w:style w:type="character" w:customStyle="1" w:styleId="20">
    <w:name w:val="正文文本 字符"/>
    <w:basedOn w:val="14"/>
    <w:link w:val="5"/>
    <w:semiHidden/>
    <w:qFormat/>
    <w:uiPriority w:val="0"/>
    <w:rPr>
      <w:rFonts w:ascii="宋体" w:hAnsi="宋体" w:eastAsia="宋体" w:cs="宋体"/>
      <w:sz w:val="28"/>
      <w:szCs w:val="28"/>
    </w:rPr>
  </w:style>
  <w:style w:type="character" w:customStyle="1" w:styleId="21">
    <w:name w:val="日期 字符"/>
    <w:basedOn w:val="14"/>
    <w:link w:val="6"/>
    <w:semiHidden/>
    <w:qFormat/>
    <w:uiPriority w:val="99"/>
  </w:style>
  <w:style w:type="character" w:customStyle="1" w:styleId="22">
    <w:name w:val="Unresolved Mention"/>
    <w:basedOn w:val="14"/>
    <w:semiHidden/>
    <w:unhideWhenUsed/>
    <w:qFormat/>
    <w:uiPriority w:val="99"/>
    <w:rPr>
      <w:color w:val="605E5C"/>
      <w:shd w:val="clear" w:color="auto" w:fill="E1DFDD"/>
    </w:rPr>
  </w:style>
  <w:style w:type="character" w:customStyle="1" w:styleId="23">
    <w:name w:val="标题 1 Char"/>
    <w:link w:val="2"/>
    <w:qFormat/>
    <w:uiPriority w:val="0"/>
    <w:rPr>
      <w:rFonts w:eastAsia="黑体"/>
      <w:b/>
      <w:kern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20</Pages>
  <Words>8138</Words>
  <Characters>8298</Characters>
  <Lines>54</Lines>
  <Paragraphs>15</Paragraphs>
  <TotalTime>4</TotalTime>
  <ScaleCrop>false</ScaleCrop>
  <LinksUpToDate>false</LinksUpToDate>
  <CharactersWithSpaces>8462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2026-07-06T02:35:00Z</dcterms:created>
  <dc:creator>yumi</dc:creator>
  <cp:lastModifiedBy>崔茜</cp:lastModifiedBy>
  <dcterms:modified xsi:type="dcterms:W3CDTF">2026-08-13T03:15:12Z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eyJoZGlkIjoiN2IzOGY3YzE1NGY3YjcwZGU3NDE0ZGE5ODA1ZjU0MTgiLCJ1c2VySWQiOiI0ODI3NDc4NDcifQ==</vt:lpwstr>
  </property>
  <property fmtid="{D5CDD505-2E9C-101B-9397-08002B2CF9AE}" pid="3" name="KSOProductBuildVer">
    <vt:lpwstr>2052-12.1.0.28043</vt:lpwstr>
  </property>
  <property fmtid="{D5CDD505-2E9C-101B-9397-08002B2CF9AE}" pid="4" name="ICV">
    <vt:lpwstr>CEC4EDF5C3E4473D83163B9C6279723D_13</vt:lpwstr>
  </property>
</Properties>
</file>